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453AA" w14:textId="365660F4" w:rsidR="00EB56D5" w:rsidRPr="00325305" w:rsidRDefault="00F01AAB" w:rsidP="00412577">
      <w:pPr>
        <w:spacing w:after="0"/>
        <w:rPr>
          <w:b/>
          <w:bCs/>
          <w:sz w:val="32"/>
          <w:szCs w:val="32"/>
        </w:rPr>
      </w:pPr>
      <w:r>
        <w:rPr>
          <w:b/>
          <w:bCs/>
          <w:sz w:val="32"/>
          <w:szCs w:val="32"/>
        </w:rPr>
        <w:t>&lt;1&gt;</w:t>
      </w:r>
      <w:r w:rsidR="00EB56D5" w:rsidRPr="00325305">
        <w:rPr>
          <w:b/>
          <w:bCs/>
          <w:sz w:val="32"/>
          <w:szCs w:val="32"/>
        </w:rPr>
        <w:t>R</w:t>
      </w:r>
      <w:r w:rsidRPr="00325305">
        <w:rPr>
          <w:b/>
          <w:bCs/>
          <w:sz w:val="32"/>
          <w:szCs w:val="32"/>
        </w:rPr>
        <w:t>elatório</w:t>
      </w:r>
      <w:r w:rsidR="00EB56D5" w:rsidRPr="00325305">
        <w:rPr>
          <w:b/>
          <w:bCs/>
          <w:sz w:val="32"/>
          <w:szCs w:val="32"/>
        </w:rPr>
        <w:t xml:space="preserve"> M</w:t>
      </w:r>
      <w:r w:rsidRPr="00325305">
        <w:rPr>
          <w:b/>
          <w:bCs/>
          <w:sz w:val="32"/>
          <w:szCs w:val="32"/>
        </w:rPr>
        <w:t>etodológico</w:t>
      </w:r>
    </w:p>
    <w:p w14:paraId="0F3A7B93" w14:textId="2F499067" w:rsidR="00EB56D5" w:rsidRPr="00325305" w:rsidRDefault="00EB56D5" w:rsidP="00412577">
      <w:pPr>
        <w:spacing w:after="0"/>
        <w:rPr>
          <w:b/>
          <w:bCs/>
          <w:sz w:val="32"/>
          <w:szCs w:val="32"/>
        </w:rPr>
      </w:pPr>
      <w:r w:rsidRPr="00325305">
        <w:rPr>
          <w:b/>
          <w:bCs/>
          <w:sz w:val="32"/>
          <w:szCs w:val="32"/>
        </w:rPr>
        <w:t>P</w:t>
      </w:r>
      <w:r w:rsidR="00F01AAB" w:rsidRPr="00325305">
        <w:rPr>
          <w:b/>
          <w:bCs/>
          <w:sz w:val="32"/>
          <w:szCs w:val="32"/>
        </w:rPr>
        <w:t xml:space="preserve">ainel </w:t>
      </w:r>
      <w:r w:rsidRPr="00325305">
        <w:rPr>
          <w:b/>
          <w:bCs/>
          <w:sz w:val="32"/>
          <w:szCs w:val="32"/>
        </w:rPr>
        <w:t>TIC</w:t>
      </w:r>
    </w:p>
    <w:p w14:paraId="51A36F92" w14:textId="77777777" w:rsidR="00EB56D5" w:rsidRDefault="00EB56D5" w:rsidP="00EB56D5">
      <w:pPr>
        <w:jc w:val="both"/>
      </w:pPr>
    </w:p>
    <w:p w14:paraId="05FC2496" w14:textId="34357BD0" w:rsidR="00EB56D5" w:rsidRPr="00412577" w:rsidRDefault="00F01AAB" w:rsidP="00EB56D5">
      <w:pPr>
        <w:jc w:val="both"/>
        <w:rPr>
          <w:b/>
          <w:bCs/>
          <w:sz w:val="24"/>
          <w:szCs w:val="24"/>
        </w:rPr>
      </w:pPr>
      <w:r w:rsidRPr="00412577">
        <w:rPr>
          <w:b/>
          <w:bCs/>
          <w:sz w:val="24"/>
          <w:szCs w:val="24"/>
        </w:rPr>
        <w:t>&lt;2&gt;</w:t>
      </w:r>
      <w:r w:rsidR="00EB56D5" w:rsidRPr="00412577">
        <w:rPr>
          <w:b/>
          <w:bCs/>
          <w:sz w:val="24"/>
          <w:szCs w:val="24"/>
        </w:rPr>
        <w:t>I</w:t>
      </w:r>
      <w:r w:rsidRPr="00F01AAB">
        <w:rPr>
          <w:b/>
          <w:bCs/>
          <w:sz w:val="24"/>
          <w:szCs w:val="24"/>
        </w:rPr>
        <w:t>ntrodução</w:t>
      </w:r>
    </w:p>
    <w:p w14:paraId="35143B3A" w14:textId="1D157292" w:rsidR="00EB56D5" w:rsidRDefault="00EB56D5" w:rsidP="00EB56D5">
      <w:pPr>
        <w:jc w:val="both"/>
      </w:pPr>
      <w:r>
        <w:t>O Comitê Gestor da Internet no Brasil (CGI.br), por meio do Centro Regional de Estudos para o Desenvolvimento da Sociedade da Informação (Cetic.br), departamento do Núcleo de Informação e Coordenação do Ponto BR (NIC.br), apresenta a metodologia d</w:t>
      </w:r>
      <w:r w:rsidR="00B82E9F">
        <w:t>a</w:t>
      </w:r>
      <w:r>
        <w:t xml:space="preserve"> </w:t>
      </w:r>
      <w:r w:rsidRPr="0099339A">
        <w:t xml:space="preserve">Pesquisa </w:t>
      </w:r>
      <w:r w:rsidR="007D4388" w:rsidRPr="0099339A">
        <w:t xml:space="preserve">com usuários de </w:t>
      </w:r>
      <w:r w:rsidRPr="0099339A">
        <w:t>Internet no Brasil</w:t>
      </w:r>
      <w:r w:rsidR="0091279B">
        <w:t>:</w:t>
      </w:r>
      <w:r w:rsidR="0099339A">
        <w:t xml:space="preserve"> P</w:t>
      </w:r>
      <w:r w:rsidR="0091279B">
        <w:t>ainel</w:t>
      </w:r>
      <w:r w:rsidR="0099339A">
        <w:t xml:space="preserve"> TIC</w:t>
      </w:r>
      <w:r>
        <w:t>.</w:t>
      </w:r>
    </w:p>
    <w:p w14:paraId="55CF1415" w14:textId="54749F6C" w:rsidR="008B5A1E" w:rsidRDefault="00EB56D5" w:rsidP="008B5A1E">
      <w:pPr>
        <w:jc w:val="both"/>
      </w:pPr>
      <w:r>
        <w:t xml:space="preserve">A </w:t>
      </w:r>
      <w:r w:rsidR="008B5A1E">
        <w:t xml:space="preserve">partir da </w:t>
      </w:r>
      <w:r>
        <w:t>pandemia COVID</w:t>
      </w:r>
      <w:r>
        <w:noBreakHyphen/>
        <w:t>19</w:t>
      </w:r>
      <w:r w:rsidR="008B5A1E">
        <w:t>, que</w:t>
      </w:r>
      <w:r>
        <w:t xml:space="preserve"> afetou de forma substancial o trabalho dos institutos nacionais de estatística e demais produtores de dados em todo o mundo</w:t>
      </w:r>
      <w:r w:rsidR="00B82E9F">
        <w:t>,</w:t>
      </w:r>
      <w:r>
        <w:t xml:space="preserve"> e particularmente entre os países da América Latina</w:t>
      </w:r>
      <w:r w:rsidR="008B5A1E">
        <w:t>, o Cetic.br</w:t>
      </w:r>
      <w:r w:rsidR="00577A70">
        <w:t>|NIC.br</w:t>
      </w:r>
      <w:r w:rsidR="008B5A1E">
        <w:t xml:space="preserve"> inovou na produção de indicadores a partir de pesquisa em painéis </w:t>
      </w:r>
      <w:r w:rsidR="008B5A1E" w:rsidRPr="00412577">
        <w:rPr>
          <w:i/>
          <w:iCs/>
        </w:rPr>
        <w:t>web</w:t>
      </w:r>
      <w:r w:rsidR="008B5A1E">
        <w:t xml:space="preserve">. </w:t>
      </w:r>
    </w:p>
    <w:p w14:paraId="42B7366F" w14:textId="405798E9" w:rsidR="00EB56D5" w:rsidRDefault="008B5A1E" w:rsidP="008B5A1E">
      <w:pPr>
        <w:jc w:val="both"/>
      </w:pPr>
      <w:r>
        <w:t>Essa experiência se mostrou bastante relevante, e a partir de 2021 esse painel pass</w:t>
      </w:r>
      <w:r w:rsidR="00B82E9F">
        <w:t>ou</w:t>
      </w:r>
      <w:r>
        <w:t xml:space="preserve"> a ser uma nova forma de investigação utilizada pelo Cetic.br</w:t>
      </w:r>
      <w:r w:rsidR="00B82E9F">
        <w:t>|NIC.br</w:t>
      </w:r>
      <w:r>
        <w:t xml:space="preserve"> na produção de estatísticas </w:t>
      </w:r>
      <w:bookmarkStart w:id="0" w:name="_Hlk162426398"/>
      <w:r w:rsidR="00B82E9F">
        <w:t xml:space="preserve">sobre </w:t>
      </w:r>
      <w:bookmarkStart w:id="1" w:name="_Hlk162426149"/>
      <w:r w:rsidR="00B82E9F">
        <w:t>tecnologias de informação e comunicação</w:t>
      </w:r>
      <w:bookmarkEnd w:id="1"/>
      <w:bookmarkEnd w:id="0"/>
      <w:r w:rsidR="00B82E9F">
        <w:t xml:space="preserve"> (</w:t>
      </w:r>
      <w:r>
        <w:t>TIC</w:t>
      </w:r>
      <w:r w:rsidR="00B82E9F">
        <w:t>)</w:t>
      </w:r>
      <w:r>
        <w:t xml:space="preserve"> para usuários de Internet</w:t>
      </w:r>
      <w:r w:rsidR="00EB56D5">
        <w:t xml:space="preserve">. </w:t>
      </w:r>
      <w:r>
        <w:t xml:space="preserve">Essa nova ferramenta de investigação vai permitir </w:t>
      </w:r>
      <w:r w:rsidR="00467013">
        <w:t xml:space="preserve">o </w:t>
      </w:r>
      <w:r>
        <w:t>acompanhamento mais regular de indicadores de conjuntura, bem como</w:t>
      </w:r>
      <w:r w:rsidR="005E516C">
        <w:t xml:space="preserve"> a</w:t>
      </w:r>
      <w:r>
        <w:t xml:space="preserve"> avalia</w:t>
      </w:r>
      <w:r w:rsidR="005E516C">
        <w:t>ção</w:t>
      </w:r>
      <w:r>
        <w:t xml:space="preserve"> e </w:t>
      </w:r>
      <w:r w:rsidR="00467013">
        <w:t xml:space="preserve">a </w:t>
      </w:r>
      <w:r>
        <w:t>coleta</w:t>
      </w:r>
      <w:r w:rsidR="005E516C">
        <w:t xml:space="preserve"> de</w:t>
      </w:r>
      <w:r>
        <w:t xml:space="preserve"> informação sobre novos temas e aspectos do uso de Internet no Brasil.</w:t>
      </w:r>
    </w:p>
    <w:p w14:paraId="09B01333" w14:textId="77777777" w:rsidR="00EB56D5" w:rsidRDefault="00EB56D5" w:rsidP="00EB56D5">
      <w:pPr>
        <w:jc w:val="both"/>
      </w:pPr>
    </w:p>
    <w:p w14:paraId="42DD3AF5" w14:textId="2C89DBF5" w:rsidR="00EB56D5" w:rsidRPr="00412577" w:rsidRDefault="0074731A" w:rsidP="00EB56D5">
      <w:pPr>
        <w:jc w:val="both"/>
        <w:rPr>
          <w:b/>
          <w:bCs/>
          <w:sz w:val="24"/>
          <w:szCs w:val="24"/>
        </w:rPr>
      </w:pPr>
      <w:r w:rsidRPr="00412577">
        <w:rPr>
          <w:b/>
          <w:bCs/>
          <w:sz w:val="24"/>
          <w:szCs w:val="24"/>
        </w:rPr>
        <w:t>&lt;2&gt;</w:t>
      </w:r>
      <w:r w:rsidR="00EB56D5" w:rsidRPr="00412577">
        <w:rPr>
          <w:b/>
          <w:bCs/>
          <w:sz w:val="24"/>
          <w:szCs w:val="24"/>
        </w:rPr>
        <w:t>O</w:t>
      </w:r>
      <w:r w:rsidRPr="00412577">
        <w:rPr>
          <w:b/>
          <w:bCs/>
          <w:sz w:val="24"/>
          <w:szCs w:val="24"/>
        </w:rPr>
        <w:t>bjetivos da pesquisa</w:t>
      </w:r>
    </w:p>
    <w:p w14:paraId="3C2BA205" w14:textId="1FA9635D" w:rsidR="00EB56D5" w:rsidRDefault="00EB56D5" w:rsidP="00EB56D5">
      <w:pPr>
        <w:jc w:val="both"/>
      </w:pPr>
      <w:r>
        <w:t xml:space="preserve">O Painel TIC tem como objetivo </w:t>
      </w:r>
      <w:r w:rsidRPr="00F05DEF">
        <w:t xml:space="preserve">coletar informações sobre </w:t>
      </w:r>
      <w:r w:rsidR="0099339A">
        <w:t>temas associados ao uso de tecnologias</w:t>
      </w:r>
      <w:r w:rsidRPr="00F05DEF">
        <w:t xml:space="preserve"> </w:t>
      </w:r>
      <w:r w:rsidR="008B5A1E">
        <w:t>por usuários de Internet em todo o Brasil</w:t>
      </w:r>
      <w:r w:rsidRPr="00F05DEF">
        <w:t>.</w:t>
      </w:r>
    </w:p>
    <w:p w14:paraId="70F36B8F" w14:textId="77777777" w:rsidR="00EB56D5" w:rsidRDefault="00EB56D5" w:rsidP="00EB56D5">
      <w:pPr>
        <w:jc w:val="both"/>
      </w:pPr>
    </w:p>
    <w:p w14:paraId="457253AC" w14:textId="7BF8ED72" w:rsidR="00EB56D5" w:rsidRPr="00412577" w:rsidRDefault="002D7F54" w:rsidP="00EB56D5">
      <w:pPr>
        <w:jc w:val="both"/>
        <w:rPr>
          <w:b/>
          <w:bCs/>
          <w:sz w:val="24"/>
          <w:szCs w:val="24"/>
        </w:rPr>
      </w:pPr>
      <w:r w:rsidRPr="00412577">
        <w:rPr>
          <w:b/>
          <w:bCs/>
          <w:sz w:val="24"/>
          <w:szCs w:val="24"/>
        </w:rPr>
        <w:t>&lt;2&gt;</w:t>
      </w:r>
      <w:r w:rsidR="00EB56D5" w:rsidRPr="00412577">
        <w:rPr>
          <w:b/>
          <w:bCs/>
          <w:sz w:val="24"/>
          <w:szCs w:val="24"/>
        </w:rPr>
        <w:t>P</w:t>
      </w:r>
      <w:r w:rsidRPr="00412577">
        <w:rPr>
          <w:b/>
          <w:bCs/>
          <w:sz w:val="24"/>
          <w:szCs w:val="24"/>
        </w:rPr>
        <w:t>opulação-alvo</w:t>
      </w:r>
    </w:p>
    <w:p w14:paraId="4E00B7BD" w14:textId="77777777" w:rsidR="00EB56D5" w:rsidRDefault="00EB56D5" w:rsidP="00EB56D5">
      <w:pPr>
        <w:jc w:val="both"/>
      </w:pPr>
      <w:r>
        <w:t>A população-alvo da pesquisa é composta por indivíduos usuários de Internet de 16 anos ou mais de idade no Brasil. São considerados usuários de Internet os indivíduos que fizeram uso da rede nos três meses que antecedem a entrevista, segundo recomendação metodológica da União Internacional de Telecomunicações (UIT, 2014).</w:t>
      </w:r>
    </w:p>
    <w:p w14:paraId="0C95A7BA" w14:textId="77777777" w:rsidR="00EB56D5" w:rsidRDefault="00EB56D5" w:rsidP="00EB56D5">
      <w:pPr>
        <w:jc w:val="both"/>
      </w:pPr>
    </w:p>
    <w:p w14:paraId="64504AC8" w14:textId="17BA38A9" w:rsidR="00EB56D5" w:rsidRPr="00412577" w:rsidRDefault="002D7F54" w:rsidP="00EB56D5">
      <w:pPr>
        <w:keepNext/>
        <w:jc w:val="both"/>
        <w:rPr>
          <w:b/>
          <w:bCs/>
          <w:sz w:val="24"/>
          <w:szCs w:val="24"/>
        </w:rPr>
      </w:pPr>
      <w:r w:rsidRPr="00412577">
        <w:rPr>
          <w:b/>
          <w:bCs/>
          <w:sz w:val="24"/>
          <w:szCs w:val="24"/>
        </w:rPr>
        <w:t>&lt;2&gt;</w:t>
      </w:r>
      <w:r w:rsidR="00EB56D5" w:rsidRPr="00412577">
        <w:rPr>
          <w:b/>
          <w:bCs/>
          <w:sz w:val="24"/>
          <w:szCs w:val="24"/>
        </w:rPr>
        <w:t>U</w:t>
      </w:r>
      <w:r w:rsidRPr="00412577">
        <w:rPr>
          <w:b/>
          <w:bCs/>
          <w:sz w:val="24"/>
          <w:szCs w:val="24"/>
        </w:rPr>
        <w:t>nidade de análise e referência</w:t>
      </w:r>
    </w:p>
    <w:p w14:paraId="7751CE0B" w14:textId="77777777" w:rsidR="00EB56D5" w:rsidRDefault="00EB56D5" w:rsidP="00EB56D5">
      <w:pPr>
        <w:jc w:val="both"/>
      </w:pPr>
      <w:r>
        <w:t xml:space="preserve">Indivíduos usuários de Internet </w:t>
      </w:r>
      <w:r>
        <w:rPr>
          <w:color w:val="231F20"/>
          <w:w w:val="105"/>
        </w:rPr>
        <w:t>com 16 anos ou mais de idade</w:t>
      </w:r>
      <w:r>
        <w:t>.</w:t>
      </w:r>
    </w:p>
    <w:p w14:paraId="1B3D0ADA" w14:textId="77777777" w:rsidR="00F54922" w:rsidRDefault="00F54922">
      <w:pPr>
        <w:rPr>
          <w:b/>
          <w:bCs/>
        </w:rPr>
      </w:pPr>
      <w:r>
        <w:rPr>
          <w:b/>
          <w:bCs/>
        </w:rPr>
        <w:br w:type="page"/>
      </w:r>
    </w:p>
    <w:p w14:paraId="60C91461" w14:textId="022E1A27" w:rsidR="00EB56D5" w:rsidRPr="00412577" w:rsidRDefault="006F44B6" w:rsidP="00EB56D5">
      <w:pPr>
        <w:jc w:val="both"/>
        <w:rPr>
          <w:b/>
          <w:bCs/>
          <w:sz w:val="24"/>
          <w:szCs w:val="24"/>
        </w:rPr>
      </w:pPr>
      <w:r w:rsidRPr="00412577">
        <w:rPr>
          <w:b/>
          <w:bCs/>
          <w:sz w:val="24"/>
          <w:szCs w:val="24"/>
        </w:rPr>
        <w:lastRenderedPageBreak/>
        <w:t>&lt;2&gt;</w:t>
      </w:r>
      <w:r w:rsidR="00EB56D5" w:rsidRPr="00412577">
        <w:rPr>
          <w:b/>
          <w:bCs/>
          <w:sz w:val="24"/>
          <w:szCs w:val="24"/>
        </w:rPr>
        <w:t>D</w:t>
      </w:r>
      <w:r w:rsidRPr="00412577">
        <w:rPr>
          <w:b/>
          <w:bCs/>
          <w:sz w:val="24"/>
          <w:szCs w:val="24"/>
        </w:rPr>
        <w:t>omínios de interesse para análise e divulgação</w:t>
      </w:r>
    </w:p>
    <w:p w14:paraId="1D1FAF19" w14:textId="3DADF9BF" w:rsidR="00EB56D5" w:rsidRDefault="00EB56D5" w:rsidP="00EB56D5">
      <w:pPr>
        <w:jc w:val="both"/>
      </w:pPr>
      <w:r w:rsidRPr="00572A64">
        <w:t>Para as unidades de análise e referência</w:t>
      </w:r>
      <w:r>
        <w:t>, os resultados são divulgados para domínios definidos com base nas variáveis e níveis descritos a seguir</w:t>
      </w:r>
      <w:r w:rsidR="0014288A">
        <w:t>:</w:t>
      </w:r>
    </w:p>
    <w:p w14:paraId="3562C1E1" w14:textId="615302A6" w:rsidR="00EB56D5" w:rsidRDefault="00EB56D5" w:rsidP="00EB56D5">
      <w:pPr>
        <w:jc w:val="both"/>
      </w:pPr>
      <w:r>
        <w:t xml:space="preserve"> • </w:t>
      </w:r>
      <w:r w:rsidR="00D22A7C" w:rsidRPr="00D96442">
        <w:rPr>
          <w:b/>
        </w:rPr>
        <w:t>s</w:t>
      </w:r>
      <w:r w:rsidRPr="00D96442">
        <w:rPr>
          <w:b/>
        </w:rPr>
        <w:t>exo:</w:t>
      </w:r>
      <w:r>
        <w:t xml:space="preserve"> </w:t>
      </w:r>
      <w:r w:rsidR="00D22A7C">
        <w:t>c</w:t>
      </w:r>
      <w:r>
        <w:t xml:space="preserve">orresponde à divisão em </w:t>
      </w:r>
      <w:r w:rsidR="00D22A7C">
        <w:rPr>
          <w:iCs/>
        </w:rPr>
        <w:t>m</w:t>
      </w:r>
      <w:r w:rsidRPr="002F1D20">
        <w:rPr>
          <w:iCs/>
        </w:rPr>
        <w:t>asculino</w:t>
      </w:r>
      <w:r>
        <w:t xml:space="preserve"> </w:t>
      </w:r>
      <w:r w:rsidR="00D22A7C">
        <w:t>ou</w:t>
      </w:r>
      <w:r>
        <w:t xml:space="preserve"> </w:t>
      </w:r>
      <w:r w:rsidR="00D22A7C">
        <w:rPr>
          <w:iCs/>
        </w:rPr>
        <w:t>f</w:t>
      </w:r>
      <w:r w:rsidRPr="002F1D20">
        <w:rPr>
          <w:iCs/>
        </w:rPr>
        <w:t>eminino</w:t>
      </w:r>
      <w:r>
        <w:t>;</w:t>
      </w:r>
    </w:p>
    <w:p w14:paraId="28B4A4B0" w14:textId="501AD7BB" w:rsidR="00EB56D5" w:rsidRDefault="00EB56D5" w:rsidP="00EB56D5">
      <w:pPr>
        <w:jc w:val="both"/>
      </w:pPr>
      <w:r>
        <w:t xml:space="preserve">• </w:t>
      </w:r>
      <w:r w:rsidR="00D22A7C" w:rsidRPr="00D96442">
        <w:rPr>
          <w:b/>
        </w:rPr>
        <w:t>g</w:t>
      </w:r>
      <w:r w:rsidRPr="00D96442">
        <w:rPr>
          <w:b/>
        </w:rPr>
        <w:t>rau de instrução:</w:t>
      </w:r>
      <w:r>
        <w:t xml:space="preserve"> </w:t>
      </w:r>
      <w:r w:rsidR="00D22A7C">
        <w:t>c</w:t>
      </w:r>
      <w:r>
        <w:t xml:space="preserve">orresponde à divisão em </w:t>
      </w:r>
      <w:r w:rsidRPr="00D96442">
        <w:rPr>
          <w:iCs/>
        </w:rPr>
        <w:t>Ensino Fundamental</w:t>
      </w:r>
      <w:r w:rsidRPr="002F1D20">
        <w:t xml:space="preserve">, </w:t>
      </w:r>
      <w:r w:rsidRPr="00D96442">
        <w:rPr>
          <w:iCs/>
        </w:rPr>
        <w:t>Ensino Médio</w:t>
      </w:r>
      <w:r w:rsidRPr="002F1D20">
        <w:t xml:space="preserve"> </w:t>
      </w:r>
      <w:r w:rsidR="0082392F">
        <w:t>ou</w:t>
      </w:r>
      <w:r w:rsidR="0082392F" w:rsidRPr="002F1D20">
        <w:t xml:space="preserve"> </w:t>
      </w:r>
      <w:r w:rsidRPr="00D96442">
        <w:rPr>
          <w:iCs/>
        </w:rPr>
        <w:t>Ensino Superior</w:t>
      </w:r>
      <w:r w:rsidR="0014288A">
        <w:rPr>
          <w:rStyle w:val="Refdenotaderodap"/>
        </w:rPr>
        <w:footnoteReference w:id="1"/>
      </w:r>
      <w:r>
        <w:t>;</w:t>
      </w:r>
    </w:p>
    <w:p w14:paraId="351EC682" w14:textId="19230A2D" w:rsidR="00EB56D5" w:rsidRDefault="00EB56D5" w:rsidP="00EB56D5">
      <w:pPr>
        <w:jc w:val="both"/>
      </w:pPr>
      <w:r>
        <w:t xml:space="preserve">• </w:t>
      </w:r>
      <w:r w:rsidR="00D22A7C" w:rsidRPr="00D96442">
        <w:rPr>
          <w:b/>
        </w:rPr>
        <w:t>f</w:t>
      </w:r>
      <w:r w:rsidRPr="00D96442">
        <w:rPr>
          <w:b/>
        </w:rPr>
        <w:t>aixa etária:</w:t>
      </w:r>
      <w:r>
        <w:t xml:space="preserve"> </w:t>
      </w:r>
      <w:r w:rsidR="00D22A7C">
        <w:t>c</w:t>
      </w:r>
      <w:r>
        <w:t xml:space="preserve">orresponde à divisão </w:t>
      </w:r>
      <w:r w:rsidR="00D22A7C">
        <w:t>n</w:t>
      </w:r>
      <w:r>
        <w:t xml:space="preserve">as faixas </w:t>
      </w:r>
      <w:r w:rsidRPr="00D96442">
        <w:rPr>
          <w:iCs/>
        </w:rPr>
        <w:t>de 16 a 24 anos</w:t>
      </w:r>
      <w:r w:rsidRPr="002F1D20">
        <w:t xml:space="preserve">, </w:t>
      </w:r>
      <w:r w:rsidRPr="00D96442">
        <w:rPr>
          <w:iCs/>
        </w:rPr>
        <w:t>de 25 a 34 anos</w:t>
      </w:r>
      <w:r w:rsidRPr="002F1D20">
        <w:t xml:space="preserve">, </w:t>
      </w:r>
      <w:r w:rsidRPr="00D96442">
        <w:rPr>
          <w:iCs/>
        </w:rPr>
        <w:t>de 35 a 44 anos</w:t>
      </w:r>
      <w:r w:rsidRPr="002F1D20">
        <w:t xml:space="preserve">, </w:t>
      </w:r>
      <w:r w:rsidRPr="00D96442">
        <w:rPr>
          <w:iCs/>
        </w:rPr>
        <w:t>de 45 a 59 anos</w:t>
      </w:r>
      <w:r w:rsidRPr="002F1D20">
        <w:t xml:space="preserve"> </w:t>
      </w:r>
      <w:r w:rsidR="0082392F">
        <w:t>ou</w:t>
      </w:r>
      <w:r w:rsidR="0082392F" w:rsidRPr="002F1D20">
        <w:t xml:space="preserve"> </w:t>
      </w:r>
      <w:r w:rsidRPr="00D96442">
        <w:rPr>
          <w:iCs/>
        </w:rPr>
        <w:t>de 60 anos ou mais</w:t>
      </w:r>
      <w:r>
        <w:t>;</w:t>
      </w:r>
    </w:p>
    <w:p w14:paraId="78B24982" w14:textId="6412A0E4" w:rsidR="00EB56D5" w:rsidRDefault="00EB56D5" w:rsidP="00EB56D5">
      <w:pPr>
        <w:jc w:val="both"/>
      </w:pPr>
      <w:r>
        <w:t xml:space="preserve">• </w:t>
      </w:r>
      <w:r w:rsidR="00D22A7C" w:rsidRPr="00D96442">
        <w:rPr>
          <w:b/>
        </w:rPr>
        <w:t>r</w:t>
      </w:r>
      <w:r w:rsidRPr="00D96442">
        <w:rPr>
          <w:b/>
        </w:rPr>
        <w:t>egião:</w:t>
      </w:r>
      <w:r>
        <w:t xml:space="preserve"> </w:t>
      </w:r>
      <w:r w:rsidR="00D22A7C">
        <w:t>c</w:t>
      </w:r>
      <w:r>
        <w:t>orresponde à divisão regional do Brasil, segundo critérios do</w:t>
      </w:r>
      <w:r w:rsidR="00D22A7C">
        <w:t xml:space="preserve"> </w:t>
      </w:r>
      <w:r w:rsidR="00D22A7C" w:rsidRPr="00D22A7C">
        <w:t>Instituto Brasileiro de Geografia e Estatística</w:t>
      </w:r>
      <w:r>
        <w:t xml:space="preserve"> </w:t>
      </w:r>
      <w:r w:rsidR="00D22A7C">
        <w:t>(</w:t>
      </w:r>
      <w:r>
        <w:t>IBGE</w:t>
      </w:r>
      <w:r w:rsidR="00D22A7C">
        <w:t>)</w:t>
      </w:r>
      <w:r>
        <w:t xml:space="preserve">, nas macrorregiões </w:t>
      </w:r>
      <w:r w:rsidRPr="00D96442">
        <w:rPr>
          <w:iCs/>
        </w:rPr>
        <w:t>Norte</w:t>
      </w:r>
      <w:r w:rsidRPr="002F1D20">
        <w:t xml:space="preserve">, </w:t>
      </w:r>
      <w:r w:rsidRPr="00D96442">
        <w:rPr>
          <w:iCs/>
        </w:rPr>
        <w:t>Nordeste</w:t>
      </w:r>
      <w:r w:rsidRPr="002F1D20">
        <w:t xml:space="preserve">, </w:t>
      </w:r>
      <w:r w:rsidRPr="00D96442">
        <w:rPr>
          <w:iCs/>
        </w:rPr>
        <w:t>Sudeste</w:t>
      </w:r>
      <w:r w:rsidRPr="002F1D20">
        <w:t xml:space="preserve">, </w:t>
      </w:r>
      <w:r w:rsidRPr="00D96442">
        <w:rPr>
          <w:iCs/>
        </w:rPr>
        <w:t>Sul</w:t>
      </w:r>
      <w:r w:rsidRPr="002F1D20">
        <w:t xml:space="preserve"> </w:t>
      </w:r>
      <w:r w:rsidR="0082392F">
        <w:t>ou</w:t>
      </w:r>
      <w:r w:rsidR="0082392F" w:rsidRPr="002F1D20">
        <w:t xml:space="preserve"> </w:t>
      </w:r>
      <w:r w:rsidRPr="00D96442">
        <w:rPr>
          <w:iCs/>
        </w:rPr>
        <w:t>Centro-Oeste</w:t>
      </w:r>
      <w:r>
        <w:t>;</w:t>
      </w:r>
    </w:p>
    <w:p w14:paraId="6ABAE9B9" w14:textId="2DF647B8" w:rsidR="00EB56D5" w:rsidRDefault="00EB56D5" w:rsidP="00EB56D5">
      <w:pPr>
        <w:jc w:val="both"/>
      </w:pPr>
      <w:r>
        <w:t xml:space="preserve">• </w:t>
      </w:r>
      <w:r w:rsidR="00D22A7C" w:rsidRPr="00D96442">
        <w:rPr>
          <w:b/>
        </w:rPr>
        <w:t>c</w:t>
      </w:r>
      <w:r w:rsidRPr="00D96442">
        <w:rPr>
          <w:b/>
        </w:rPr>
        <w:t>lasse social:</w:t>
      </w:r>
      <w:r>
        <w:t xml:space="preserve"> </w:t>
      </w:r>
      <w:r w:rsidR="00D22A7C">
        <w:t>c</w:t>
      </w:r>
      <w:r>
        <w:t xml:space="preserve">orresponde à divisão em </w:t>
      </w:r>
      <w:r w:rsidRPr="00D96442">
        <w:rPr>
          <w:iCs/>
        </w:rPr>
        <w:t>AB</w:t>
      </w:r>
      <w:r w:rsidRPr="002F1D20">
        <w:t xml:space="preserve">, </w:t>
      </w:r>
      <w:r w:rsidRPr="00D96442">
        <w:rPr>
          <w:iCs/>
        </w:rPr>
        <w:t>C</w:t>
      </w:r>
      <w:r w:rsidRPr="002F1D20">
        <w:t xml:space="preserve"> </w:t>
      </w:r>
      <w:r w:rsidR="0082392F">
        <w:t>ou</w:t>
      </w:r>
      <w:r w:rsidR="0082392F" w:rsidRPr="002F1D20">
        <w:t xml:space="preserve"> </w:t>
      </w:r>
      <w:r w:rsidRPr="00D96442">
        <w:rPr>
          <w:iCs/>
        </w:rPr>
        <w:t>DE</w:t>
      </w:r>
      <w:r>
        <w:t xml:space="preserve">, conforme o Critério de Classificação Econômica Brasil (CCEB), da Associação Brasileira de Empresas de Pesquisa </w:t>
      </w:r>
      <w:r>
        <w:rPr>
          <w:noProof/>
        </w:rPr>
        <w:t>(Abep)</w:t>
      </w:r>
      <w:r>
        <w:t>.</w:t>
      </w:r>
    </w:p>
    <w:p w14:paraId="1FA554D2" w14:textId="77777777" w:rsidR="00EB56D5" w:rsidRDefault="00EB56D5" w:rsidP="00EB56D5">
      <w:pPr>
        <w:jc w:val="both"/>
      </w:pPr>
    </w:p>
    <w:p w14:paraId="24B3C45F" w14:textId="5759EC44" w:rsidR="00EB56D5" w:rsidRPr="00634416" w:rsidRDefault="0082392F" w:rsidP="00EB56D5">
      <w:pPr>
        <w:jc w:val="both"/>
        <w:rPr>
          <w:b/>
          <w:bCs/>
        </w:rPr>
      </w:pPr>
      <w:r>
        <w:rPr>
          <w:b/>
          <w:bCs/>
        </w:rPr>
        <w:t>&lt;2&gt;</w:t>
      </w:r>
      <w:r w:rsidR="00EB56D5" w:rsidRPr="00634416">
        <w:rPr>
          <w:b/>
          <w:bCs/>
        </w:rPr>
        <w:t>I</w:t>
      </w:r>
      <w:r w:rsidRPr="00634416">
        <w:rPr>
          <w:b/>
          <w:bCs/>
        </w:rPr>
        <w:t>nstrumentos de coleta</w:t>
      </w:r>
    </w:p>
    <w:p w14:paraId="1F814050" w14:textId="6E19EE67" w:rsidR="00EB56D5" w:rsidRDefault="0082392F" w:rsidP="00EB56D5">
      <w:pPr>
        <w:jc w:val="both"/>
      </w:pPr>
      <w:r>
        <w:rPr>
          <w:b/>
          <w:bCs/>
        </w:rPr>
        <w:t>&lt;3&gt;</w:t>
      </w:r>
      <w:r w:rsidR="00EB56D5" w:rsidRPr="00634416">
        <w:rPr>
          <w:b/>
          <w:bCs/>
        </w:rPr>
        <w:t>I</w:t>
      </w:r>
      <w:r w:rsidRPr="00634416">
        <w:rPr>
          <w:b/>
          <w:bCs/>
        </w:rPr>
        <w:t>nformações sobre os instrumentos de coleta</w:t>
      </w:r>
    </w:p>
    <w:p w14:paraId="3C8D01B3" w14:textId="042B628F" w:rsidR="00EB56D5" w:rsidRDefault="00EB56D5" w:rsidP="00EB56D5">
      <w:pPr>
        <w:jc w:val="both"/>
      </w:pPr>
      <w:r>
        <w:t xml:space="preserve">Os dados </w:t>
      </w:r>
      <w:r w:rsidR="001B605A">
        <w:t>são</w:t>
      </w:r>
      <w:r>
        <w:t xml:space="preserve"> coletados por meio de </w:t>
      </w:r>
      <w:r w:rsidR="0082392F">
        <w:t xml:space="preserve">um </w:t>
      </w:r>
      <w:r>
        <w:t>questionário estruturado, com perguntas fechadas</w:t>
      </w:r>
      <w:r w:rsidR="0099339A">
        <w:t xml:space="preserve"> </w:t>
      </w:r>
      <w:r w:rsidR="0082392F">
        <w:t xml:space="preserve">e </w:t>
      </w:r>
      <w:r>
        <w:t>respostas predefinidas (respostas únicas ou múltiplas)</w:t>
      </w:r>
      <w:r w:rsidR="0099339A">
        <w:t xml:space="preserve"> e, em alguns casos</w:t>
      </w:r>
      <w:r w:rsidR="0082392F">
        <w:t>,</w:t>
      </w:r>
      <w:r w:rsidR="0099339A">
        <w:t xml:space="preserve"> perguntas abertas analisadas </w:t>
      </w:r>
      <w:r w:rsidR="00925931">
        <w:t xml:space="preserve">por meio de </w:t>
      </w:r>
      <w:r w:rsidR="0099339A">
        <w:t>metodologias de análise de texto</w:t>
      </w:r>
      <w:r>
        <w:t xml:space="preserve">. </w:t>
      </w:r>
      <w:r w:rsidR="00687DFB">
        <w:t>O questionário é</w:t>
      </w:r>
      <w:r>
        <w:t xml:space="preserve"> </w:t>
      </w:r>
      <w:r w:rsidR="00674191">
        <w:t>realizado por</w:t>
      </w:r>
      <w:r>
        <w:t xml:space="preserve"> autopreenchimento, sem mediação de entrevistador. </w:t>
      </w:r>
    </w:p>
    <w:p w14:paraId="0886F231" w14:textId="77777777" w:rsidR="00EB56D5" w:rsidRDefault="00EB56D5" w:rsidP="00EB56D5">
      <w:pPr>
        <w:jc w:val="both"/>
      </w:pPr>
    </w:p>
    <w:p w14:paraId="3C060430" w14:textId="723ABD1F" w:rsidR="00EB56D5" w:rsidRDefault="00442909" w:rsidP="00EB56D5">
      <w:pPr>
        <w:keepNext/>
        <w:jc w:val="both"/>
        <w:rPr>
          <w:b/>
          <w:bCs/>
        </w:rPr>
      </w:pPr>
      <w:r>
        <w:rPr>
          <w:b/>
          <w:bCs/>
        </w:rPr>
        <w:t>&lt;3&gt;</w:t>
      </w:r>
      <w:r w:rsidR="00EB56D5" w:rsidRPr="00EB56D5">
        <w:rPr>
          <w:b/>
          <w:bCs/>
        </w:rPr>
        <w:t>T</w:t>
      </w:r>
      <w:r w:rsidRPr="00EB56D5">
        <w:rPr>
          <w:b/>
          <w:bCs/>
        </w:rPr>
        <w:t>emáticas abordadas</w:t>
      </w:r>
    </w:p>
    <w:p w14:paraId="29F27AE8" w14:textId="0C54D650" w:rsidR="007B1A58" w:rsidRDefault="00D05040" w:rsidP="00EB56D5">
      <w:pPr>
        <w:jc w:val="both"/>
      </w:pPr>
      <w:r>
        <w:t>A</w:t>
      </w:r>
      <w:r w:rsidR="00EB56D5">
        <w:t xml:space="preserve"> pesquisa investiga </w:t>
      </w:r>
      <w:r w:rsidR="00A06673">
        <w:t>temas associados à</w:t>
      </w:r>
      <w:r w:rsidR="00442909">
        <w:t>s</w:t>
      </w:r>
      <w:r w:rsidR="00A06673">
        <w:t xml:space="preserve"> </w:t>
      </w:r>
      <w:r w:rsidR="00EB56D5">
        <w:t xml:space="preserve">atividades realizadas na Internet e </w:t>
      </w:r>
      <w:r w:rsidR="00442909">
        <w:t xml:space="preserve">aos </w:t>
      </w:r>
      <w:r w:rsidR="00EB56D5">
        <w:t xml:space="preserve">dispositivos utilizados para </w:t>
      </w:r>
      <w:r w:rsidR="007B1A58">
        <w:t>acesso à</w:t>
      </w:r>
      <w:r w:rsidR="00EB56D5">
        <w:t xml:space="preserve"> rede, tendo como referência os indicadores validados pela pesquisa TIC Domicílios</w:t>
      </w:r>
      <w:r w:rsidR="00442909">
        <w:t xml:space="preserve">, realizada pelo </w:t>
      </w:r>
      <w:r w:rsidR="002C5541">
        <w:t>CGI.br</w:t>
      </w:r>
      <w:r w:rsidR="00442909">
        <w:t>,</w:t>
      </w:r>
      <w:r w:rsidR="002C3E8C">
        <w:t xml:space="preserve"> e indicadores de uso relacionados a temas relevantes à época da pesquisa.</w:t>
      </w:r>
    </w:p>
    <w:p w14:paraId="575D4866" w14:textId="77777777" w:rsidR="002C3E8C" w:rsidRDefault="002C3E8C">
      <w:pPr>
        <w:rPr>
          <w:b/>
          <w:bCs/>
        </w:rPr>
      </w:pPr>
      <w:r>
        <w:rPr>
          <w:b/>
          <w:bCs/>
        </w:rPr>
        <w:br w:type="page"/>
      </w:r>
    </w:p>
    <w:p w14:paraId="7A111A34" w14:textId="13999722" w:rsidR="00EB56D5" w:rsidRPr="00412577" w:rsidRDefault="00442909" w:rsidP="00EB56D5">
      <w:pPr>
        <w:jc w:val="both"/>
        <w:rPr>
          <w:b/>
          <w:bCs/>
          <w:sz w:val="24"/>
          <w:szCs w:val="24"/>
        </w:rPr>
      </w:pPr>
      <w:r w:rsidRPr="00412577">
        <w:rPr>
          <w:b/>
          <w:bCs/>
          <w:sz w:val="24"/>
          <w:szCs w:val="24"/>
        </w:rPr>
        <w:lastRenderedPageBreak/>
        <w:t>&lt;2&gt;</w:t>
      </w:r>
      <w:r w:rsidR="00EB56D5" w:rsidRPr="00412577">
        <w:rPr>
          <w:b/>
          <w:bCs/>
          <w:sz w:val="24"/>
          <w:szCs w:val="24"/>
        </w:rPr>
        <w:t>P</w:t>
      </w:r>
      <w:r w:rsidRPr="00412577">
        <w:rPr>
          <w:b/>
          <w:bCs/>
          <w:sz w:val="24"/>
          <w:szCs w:val="24"/>
        </w:rPr>
        <w:t>lano amostral</w:t>
      </w:r>
    </w:p>
    <w:p w14:paraId="7D2728B6" w14:textId="06731DB5" w:rsidR="00EB56D5" w:rsidRPr="0032688B" w:rsidRDefault="00442909" w:rsidP="00EB56D5">
      <w:pPr>
        <w:jc w:val="both"/>
        <w:rPr>
          <w:b/>
          <w:bCs/>
        </w:rPr>
      </w:pPr>
      <w:r>
        <w:rPr>
          <w:b/>
          <w:bCs/>
        </w:rPr>
        <w:t>&lt;3&gt;</w:t>
      </w:r>
      <w:r w:rsidR="00EB56D5" w:rsidRPr="0032688B">
        <w:rPr>
          <w:b/>
          <w:bCs/>
        </w:rPr>
        <w:t>C</w:t>
      </w:r>
      <w:r w:rsidRPr="0032688B">
        <w:rPr>
          <w:b/>
          <w:bCs/>
        </w:rPr>
        <w:t>adastros e fontes de informação</w:t>
      </w:r>
    </w:p>
    <w:p w14:paraId="6251B6A4" w14:textId="49DF3438" w:rsidR="00EB56D5" w:rsidRDefault="00EB56D5" w:rsidP="00EB56D5">
      <w:pPr>
        <w:jc w:val="both"/>
      </w:pPr>
      <w:r>
        <w:t xml:space="preserve">Para o desenho amostral do Painel TIC </w:t>
      </w:r>
      <w:r w:rsidR="000B2FFA">
        <w:t>é</w:t>
      </w:r>
      <w:r>
        <w:t xml:space="preserve"> utilizado como fonte primária </w:t>
      </w:r>
      <w:r w:rsidR="000B2FFA">
        <w:t>um</w:t>
      </w:r>
      <w:r>
        <w:t xml:space="preserve"> </w:t>
      </w:r>
      <w:r w:rsidR="002C3E8C">
        <w:t>p</w:t>
      </w:r>
      <w:r>
        <w:t xml:space="preserve">ainel </w:t>
      </w:r>
      <w:r w:rsidR="002C3E8C">
        <w:rPr>
          <w:noProof/>
        </w:rPr>
        <w:t>de respondentes d</w:t>
      </w:r>
      <w:r w:rsidR="000B2FFA">
        <w:rPr>
          <w:noProof/>
        </w:rPr>
        <w:t>e</w:t>
      </w:r>
      <w:r w:rsidR="002C3E8C">
        <w:rPr>
          <w:noProof/>
        </w:rPr>
        <w:t xml:space="preserve"> empresa de pesquisa de mercado</w:t>
      </w:r>
      <w:r>
        <w:t xml:space="preserve">, que conta com </w:t>
      </w:r>
      <w:r w:rsidRPr="00E702A2">
        <w:t>painelistas</w:t>
      </w:r>
      <w:r>
        <w:t xml:space="preserve"> de 16 anos ou mais de idade. O recrutamento dos participantes no pain</w:t>
      </w:r>
      <w:r w:rsidR="000F13FA">
        <w:t>el</w:t>
      </w:r>
      <w:r>
        <w:t xml:space="preserve"> se dá por uma série de canais e métodos</w:t>
      </w:r>
      <w:r w:rsidR="000B2FFA">
        <w:t>,</w:t>
      </w:r>
      <w:r w:rsidR="000F13FA">
        <w:t xml:space="preserve"> entre eles</w:t>
      </w:r>
      <w:r w:rsidR="000B2FFA">
        <w:t>:</w:t>
      </w:r>
      <w:r w:rsidR="000F13FA">
        <w:t xml:space="preserve"> pesquisas probabilísticas</w:t>
      </w:r>
      <w:r>
        <w:t>, escolha criteriosa de parceiros de recrutamento e parcerias com veículos de comunicação e mídia, avaliação contínua da taxa de resposta dos painelistas, foco em ações de recrutamento para públicos específicos conforme as necessidades dos clientes</w:t>
      </w:r>
      <w:r w:rsidR="00D94AC9">
        <w:t xml:space="preserve"> e</w:t>
      </w:r>
      <w:r>
        <w:t xml:space="preserve"> processo de recrutamento em conformidade com os mais altos padrões de mercado. Além disso, é importante mencionar que os participantes do </w:t>
      </w:r>
      <w:r w:rsidR="000C2DDE">
        <w:t>painel</w:t>
      </w:r>
      <w:r>
        <w:t xml:space="preserve"> recebem incentivos para responderem às pesquisas.</w:t>
      </w:r>
    </w:p>
    <w:p w14:paraId="6C9FBD2A" w14:textId="2D9AC2A5" w:rsidR="00EB56D5" w:rsidRPr="001D3E2E" w:rsidRDefault="00817457" w:rsidP="00EB56D5">
      <w:pPr>
        <w:keepNext/>
        <w:jc w:val="both"/>
        <w:rPr>
          <w:b/>
          <w:bCs/>
        </w:rPr>
      </w:pPr>
      <w:r w:rsidRPr="001D3E2E">
        <w:rPr>
          <w:b/>
          <w:bCs/>
        </w:rPr>
        <w:t>&lt;3&gt;</w:t>
      </w:r>
      <w:r w:rsidR="00EB56D5" w:rsidRPr="001D3E2E">
        <w:rPr>
          <w:b/>
          <w:bCs/>
        </w:rPr>
        <w:t>D</w:t>
      </w:r>
      <w:r w:rsidRPr="001D3E2E">
        <w:rPr>
          <w:b/>
          <w:bCs/>
        </w:rPr>
        <w:t>imensionamento da amostra</w:t>
      </w:r>
    </w:p>
    <w:p w14:paraId="4728F4FC" w14:textId="252A08D6" w:rsidR="00EB56D5" w:rsidRDefault="00EB56D5" w:rsidP="00EB56D5">
      <w:pPr>
        <w:jc w:val="both"/>
      </w:pPr>
      <w:r>
        <w:t xml:space="preserve">A amostra </w:t>
      </w:r>
      <w:r w:rsidR="00E250E5">
        <w:t>é</w:t>
      </w:r>
      <w:r>
        <w:t xml:space="preserve"> dimensionada </w:t>
      </w:r>
      <w:r w:rsidR="00E250E5">
        <w:t xml:space="preserve">de acordo com as necessidades de informação, </w:t>
      </w:r>
      <w:r w:rsidR="00564322">
        <w:t xml:space="preserve">os </w:t>
      </w:r>
      <w:r w:rsidR="00E250E5">
        <w:t>recursos disponíveis e o prazo em que se deseja ter a informação para análise. O total de</w:t>
      </w:r>
      <w:r>
        <w:t xml:space="preserve"> entrevistas </w:t>
      </w:r>
      <w:r w:rsidR="00E250E5">
        <w:t xml:space="preserve">de cada onda do Painel TIC é apresentado no </w:t>
      </w:r>
      <w:r w:rsidR="00817457">
        <w:t>“</w:t>
      </w:r>
      <w:r w:rsidR="00E250E5">
        <w:t>Relatório de Coleta de Dados</w:t>
      </w:r>
      <w:r w:rsidR="00817457">
        <w:t>”</w:t>
      </w:r>
      <w:r w:rsidR="00E250E5">
        <w:t>.</w:t>
      </w:r>
      <w:r>
        <w:t xml:space="preserve"> </w:t>
      </w:r>
    </w:p>
    <w:p w14:paraId="27744080" w14:textId="5216BA1F" w:rsidR="00EB56D5" w:rsidRPr="001D3E2E" w:rsidRDefault="00817457" w:rsidP="00EB56D5">
      <w:pPr>
        <w:keepNext/>
        <w:jc w:val="both"/>
        <w:rPr>
          <w:b/>
          <w:bCs/>
        </w:rPr>
      </w:pPr>
      <w:r w:rsidRPr="001D3E2E">
        <w:rPr>
          <w:b/>
          <w:bCs/>
        </w:rPr>
        <w:t>&lt;3&gt;</w:t>
      </w:r>
      <w:r w:rsidR="00EB56D5" w:rsidRPr="001D3E2E">
        <w:rPr>
          <w:b/>
          <w:bCs/>
        </w:rPr>
        <w:t>M</w:t>
      </w:r>
      <w:r w:rsidRPr="001D3E2E">
        <w:rPr>
          <w:b/>
          <w:bCs/>
        </w:rPr>
        <w:t>étodos para obtenção da amostra</w:t>
      </w:r>
    </w:p>
    <w:p w14:paraId="31DB371B" w14:textId="0ABD80A1" w:rsidR="00EB56D5" w:rsidRDefault="00EB56D5" w:rsidP="00EB56D5">
      <w:pPr>
        <w:jc w:val="both"/>
      </w:pPr>
      <w:r>
        <w:t xml:space="preserve">O plano amostral empregado para a obtenção da amostra de respondentes </w:t>
      </w:r>
      <w:r w:rsidR="00E134EC">
        <w:t>é</w:t>
      </w:r>
      <w:r>
        <w:t xml:space="preserve"> do tipo amostragem de cotas. As cotas </w:t>
      </w:r>
      <w:r w:rsidR="00E134EC">
        <w:t>são</w:t>
      </w:r>
      <w:r>
        <w:t xml:space="preserve"> estabelecidas considerando sexo, faixa etária, escolaridade, macrorregião e classe social, e </w:t>
      </w:r>
      <w:r w:rsidR="00E134EC">
        <w:t>são utilizadas</w:t>
      </w:r>
      <w:r>
        <w:t xml:space="preserve"> para indicar os indivíduos a serem abordados para coleta pela </w:t>
      </w:r>
      <w:r w:rsidR="00564322">
        <w:t>W</w:t>
      </w:r>
      <w:r w:rsidRPr="00412577">
        <w:t>eb</w:t>
      </w:r>
      <w:r>
        <w:t xml:space="preserve">. A alocação da amostra segundo os critérios estabelecidos </w:t>
      </w:r>
      <w:r w:rsidR="00E134EC">
        <w:t>é</w:t>
      </w:r>
      <w:r>
        <w:t xml:space="preserve"> desproporcional às informações constantes no cadastro, dada a necessidade de atender à demanda por informações para todos os domínios de interesse. A amostra resultante des</w:t>
      </w:r>
      <w:r w:rsidR="001D3E2E">
        <w:t>s</w:t>
      </w:r>
      <w:r>
        <w:t>e esforço de coleta é daqui por diante denominada Painel TIC.</w:t>
      </w:r>
    </w:p>
    <w:p w14:paraId="41DDE106" w14:textId="77777777" w:rsidR="00EB56D5" w:rsidRDefault="00EB56D5" w:rsidP="00EB56D5">
      <w:pPr>
        <w:jc w:val="both"/>
      </w:pPr>
    </w:p>
    <w:p w14:paraId="593C3DA8" w14:textId="77777777" w:rsidR="00BE13AE" w:rsidRDefault="00BE13AE">
      <w:pPr>
        <w:rPr>
          <w:b/>
          <w:bCs/>
        </w:rPr>
      </w:pPr>
      <w:r>
        <w:rPr>
          <w:b/>
          <w:bCs/>
        </w:rPr>
        <w:br w:type="page"/>
      </w:r>
    </w:p>
    <w:p w14:paraId="780E7154" w14:textId="45AF5695" w:rsidR="00EB56D5" w:rsidRPr="00412577" w:rsidRDefault="00BE6974" w:rsidP="00EB56D5">
      <w:pPr>
        <w:jc w:val="both"/>
        <w:rPr>
          <w:b/>
          <w:bCs/>
          <w:sz w:val="24"/>
          <w:szCs w:val="24"/>
        </w:rPr>
      </w:pPr>
      <w:r w:rsidRPr="00412577">
        <w:rPr>
          <w:b/>
          <w:bCs/>
          <w:sz w:val="24"/>
          <w:szCs w:val="24"/>
        </w:rPr>
        <w:lastRenderedPageBreak/>
        <w:t>&lt;2&gt;</w:t>
      </w:r>
      <w:r w:rsidR="00EB56D5" w:rsidRPr="00412577">
        <w:rPr>
          <w:b/>
          <w:bCs/>
          <w:sz w:val="24"/>
          <w:szCs w:val="24"/>
        </w:rPr>
        <w:t>C</w:t>
      </w:r>
      <w:r w:rsidRPr="00412577">
        <w:rPr>
          <w:b/>
          <w:bCs/>
          <w:sz w:val="24"/>
          <w:szCs w:val="24"/>
        </w:rPr>
        <w:t>oleta de dados em campo</w:t>
      </w:r>
    </w:p>
    <w:p w14:paraId="5D1E8EA9" w14:textId="03B2F08E" w:rsidR="00EB56D5" w:rsidRDefault="00BE6974" w:rsidP="00EB56D5">
      <w:pPr>
        <w:jc w:val="both"/>
      </w:pPr>
      <w:r>
        <w:rPr>
          <w:b/>
          <w:bCs/>
        </w:rPr>
        <w:t>&lt;3&gt;</w:t>
      </w:r>
      <w:r w:rsidR="00EB56D5" w:rsidRPr="002120EF">
        <w:rPr>
          <w:b/>
          <w:bCs/>
        </w:rPr>
        <w:t>M</w:t>
      </w:r>
      <w:r w:rsidRPr="002120EF">
        <w:rPr>
          <w:b/>
          <w:bCs/>
        </w:rPr>
        <w:t>étodo de coleta</w:t>
      </w:r>
    </w:p>
    <w:p w14:paraId="21B2FC69" w14:textId="791CC3D2" w:rsidR="00530E12" w:rsidRPr="00BE13AE" w:rsidRDefault="00E134EC" w:rsidP="00BE13AE">
      <w:pPr>
        <w:jc w:val="both"/>
      </w:pPr>
      <w:r>
        <w:t>É</w:t>
      </w:r>
      <w:r w:rsidR="00EB56D5">
        <w:t xml:space="preserve"> utilizado </w:t>
      </w:r>
      <w:r w:rsidR="00530E12">
        <w:t>o modo de coleta</w:t>
      </w:r>
      <w:r w:rsidR="00EB56D5">
        <w:t xml:space="preserve"> </w:t>
      </w:r>
      <w:r w:rsidR="00BC4F64">
        <w:t xml:space="preserve">de entrevista </w:t>
      </w:r>
      <w:r w:rsidR="00BC4F64" w:rsidRPr="00412577">
        <w:rPr>
          <w:i/>
          <w:iCs/>
        </w:rPr>
        <w:t>web</w:t>
      </w:r>
      <w:r w:rsidR="00BC4F64">
        <w:t xml:space="preserve"> assistida por computador</w:t>
      </w:r>
      <w:r w:rsidR="00EB56D5">
        <w:t xml:space="preserve"> (do inglês, </w:t>
      </w:r>
      <w:proofErr w:type="spellStart"/>
      <w:r w:rsidR="005F4F6A" w:rsidRPr="00F01AAB">
        <w:rPr>
          <w:i/>
          <w:iCs/>
        </w:rPr>
        <w:t>computer-assisted</w:t>
      </w:r>
      <w:proofErr w:type="spellEnd"/>
      <w:r w:rsidR="005F4F6A" w:rsidRPr="00F01AAB">
        <w:rPr>
          <w:i/>
          <w:iCs/>
        </w:rPr>
        <w:t xml:space="preserve"> web </w:t>
      </w:r>
      <w:proofErr w:type="spellStart"/>
      <w:r w:rsidR="005F4F6A" w:rsidRPr="00F01AAB">
        <w:rPr>
          <w:i/>
          <w:iCs/>
        </w:rPr>
        <w:t>interviewing</w:t>
      </w:r>
      <w:proofErr w:type="spellEnd"/>
      <w:r w:rsidR="00BC4F64">
        <w:rPr>
          <w:i/>
          <w:iCs/>
        </w:rPr>
        <w:t xml:space="preserve"> </w:t>
      </w:r>
      <w:r w:rsidR="00BC4F64" w:rsidRPr="00412577">
        <w:t>[CAWI]</w:t>
      </w:r>
      <w:r w:rsidR="00EB56D5">
        <w:t xml:space="preserve">), </w:t>
      </w:r>
      <w:r w:rsidR="00795BFB">
        <w:t>por meio de</w:t>
      </w:r>
      <w:r w:rsidR="00EB56D5">
        <w:t xml:space="preserve"> um questionário programado e </w:t>
      </w:r>
      <w:r w:rsidR="00EB56D5">
        <w:rPr>
          <w:noProof/>
        </w:rPr>
        <w:t>autoaplicado</w:t>
      </w:r>
      <w:r w:rsidR="00EB56D5">
        <w:t xml:space="preserve"> </w:t>
      </w:r>
      <w:r w:rsidR="00EB56D5">
        <w:rPr>
          <w:i/>
          <w:iCs/>
        </w:rPr>
        <w:t>online</w:t>
      </w:r>
      <w:r w:rsidR="00EB56D5">
        <w:t>.</w:t>
      </w:r>
    </w:p>
    <w:p w14:paraId="661EF925" w14:textId="662A54EE" w:rsidR="00EB56D5" w:rsidRPr="00412577" w:rsidRDefault="0075543E" w:rsidP="00EB56D5">
      <w:pPr>
        <w:jc w:val="both"/>
        <w:rPr>
          <w:b/>
          <w:bCs/>
          <w:sz w:val="24"/>
          <w:szCs w:val="24"/>
        </w:rPr>
      </w:pPr>
      <w:r w:rsidRPr="00412577">
        <w:rPr>
          <w:b/>
          <w:bCs/>
          <w:sz w:val="24"/>
          <w:szCs w:val="24"/>
        </w:rPr>
        <w:t>&lt;2&gt;</w:t>
      </w:r>
      <w:r w:rsidR="00EB56D5" w:rsidRPr="00412577">
        <w:rPr>
          <w:b/>
          <w:bCs/>
          <w:sz w:val="24"/>
          <w:szCs w:val="24"/>
        </w:rPr>
        <w:t>P</w:t>
      </w:r>
      <w:r w:rsidRPr="00412577">
        <w:rPr>
          <w:b/>
          <w:bCs/>
          <w:sz w:val="24"/>
          <w:szCs w:val="24"/>
        </w:rPr>
        <w:t>rocessamento de dados</w:t>
      </w:r>
    </w:p>
    <w:p w14:paraId="4D48F960" w14:textId="55C93E87" w:rsidR="00EB56D5" w:rsidRPr="002120EF" w:rsidRDefault="0075543E" w:rsidP="00EB56D5">
      <w:pPr>
        <w:jc w:val="both"/>
        <w:rPr>
          <w:b/>
          <w:bCs/>
        </w:rPr>
      </w:pPr>
      <w:r>
        <w:rPr>
          <w:b/>
          <w:bCs/>
        </w:rPr>
        <w:t>&lt;3&gt;</w:t>
      </w:r>
      <w:r w:rsidR="00EB56D5" w:rsidRPr="002120EF">
        <w:rPr>
          <w:b/>
          <w:bCs/>
        </w:rPr>
        <w:t>P</w:t>
      </w:r>
      <w:r w:rsidRPr="002120EF">
        <w:rPr>
          <w:b/>
          <w:bCs/>
        </w:rPr>
        <w:t>rocedimentos de ponderação</w:t>
      </w:r>
    </w:p>
    <w:p w14:paraId="0393B829" w14:textId="77777777" w:rsidR="00EB56D5" w:rsidRDefault="00EB56D5" w:rsidP="00EB56D5">
      <w:pPr>
        <w:jc w:val="both"/>
      </w:pPr>
      <w:r>
        <w:t xml:space="preserve">Pesquisas amostrais com utilização de cotas para seleção de respondentes são classificadas como não probabilísticas. Tipicamente, tais estratégias não permitem o cálculo de erros amostrais e podem carregar alguns vieses de </w:t>
      </w:r>
      <w:r w:rsidRPr="00060744">
        <w:t>seleção</w:t>
      </w:r>
      <w:r w:rsidRPr="00112285">
        <w:t>, na medida em que as probabilidades de seleção de cada unidade não são conhecidas</w:t>
      </w:r>
      <w:r w:rsidRPr="00E01464">
        <w:t>.</w:t>
      </w:r>
      <w:r>
        <w:t xml:space="preserve"> Abordagens não probabilísticas são usuais em pesquisas de opinião, de intenção de voto, de avaliação de produtos e de satisfação de clientes. </w:t>
      </w:r>
      <w:r w:rsidRPr="00060744">
        <w:t>Tais pesquisas</w:t>
      </w:r>
      <w:r w:rsidRPr="003649EB">
        <w:t xml:space="preserve"> </w:t>
      </w:r>
      <w:r w:rsidRPr="00E01464">
        <w:t>contam</w:t>
      </w:r>
      <w:r w:rsidRPr="00112285">
        <w:t xml:space="preserve">, em geral, </w:t>
      </w:r>
      <w:r w:rsidRPr="00E01464">
        <w:t xml:space="preserve">com períodos de coleta mais </w:t>
      </w:r>
      <w:r>
        <w:t>curtos</w:t>
      </w:r>
      <w:r w:rsidRPr="00E01464">
        <w:t xml:space="preserve"> e com menor</w:t>
      </w:r>
      <w:r>
        <w:t>es</w:t>
      </w:r>
      <w:r w:rsidRPr="00E01464">
        <w:t xml:space="preserve"> </w:t>
      </w:r>
      <w:r>
        <w:t>orçamentos</w:t>
      </w:r>
      <w:r w:rsidRPr="00E01464">
        <w:t xml:space="preserve">, mas não seguem </w:t>
      </w:r>
      <w:r>
        <w:t xml:space="preserve">o </w:t>
      </w:r>
      <w:r w:rsidRPr="00E01464">
        <w:t>rigor habitual dos métodos de amostragem probabilística para obtenção das amostras.</w:t>
      </w:r>
    </w:p>
    <w:p w14:paraId="550CC008" w14:textId="2470A0F4" w:rsidR="00EB56D5" w:rsidRDefault="00EB56D5" w:rsidP="00EB56D5">
      <w:pPr>
        <w:jc w:val="both"/>
      </w:pPr>
      <w:r>
        <w:t>Recentemente, a crescente demanda por informações mais frequentes e desagregadas, além da emergência de novas fontes de informação (</w:t>
      </w:r>
      <w:r w:rsidRPr="004F3930">
        <w:rPr>
          <w:i/>
          <w:iCs/>
        </w:rPr>
        <w:t>Big Data</w:t>
      </w:r>
      <w:r>
        <w:t xml:space="preserve">), tem impulsionado inúmeros estudos que tentam atribuir estruturas de pesos que permitam amenizar os vieses de bases de dados coletadas por métodos não tradicionais. Em geral, tais estudos utilizam uma pesquisa amostral ou </w:t>
      </w:r>
      <w:r w:rsidR="0075543E">
        <w:t xml:space="preserve">o </w:t>
      </w:r>
      <w:r>
        <w:t xml:space="preserve">censo tradicional como referência para o cálculo de pesos para as observações da amostra não probabilística, que então servem de base para a obtenção de estimativas da precisão, intervalos de </w:t>
      </w:r>
      <w:r w:rsidR="007C63EF">
        <w:t>confiança etc.</w:t>
      </w:r>
      <w:r>
        <w:t xml:space="preserve"> Como exemplos de estudos nessa linha podem ser citados </w:t>
      </w:r>
      <w:r w:rsidRPr="0098763C">
        <w:t xml:space="preserve">Elliott e </w:t>
      </w:r>
      <w:r w:rsidRPr="0098763C">
        <w:rPr>
          <w:noProof/>
        </w:rPr>
        <w:t>Valliant</w:t>
      </w:r>
      <w:r w:rsidRPr="0098763C">
        <w:t xml:space="preserve"> (2017) e </w:t>
      </w:r>
      <w:r w:rsidRPr="0098763C">
        <w:rPr>
          <w:noProof/>
        </w:rPr>
        <w:t>Valliant</w:t>
      </w:r>
      <w:r w:rsidRPr="0098763C">
        <w:t xml:space="preserve"> (2019).</w:t>
      </w:r>
    </w:p>
    <w:p w14:paraId="652FC327" w14:textId="0FEDCEC2" w:rsidR="00EB56D5" w:rsidRDefault="00EB56D5" w:rsidP="00EB56D5">
      <w:pPr>
        <w:jc w:val="both"/>
      </w:pPr>
      <w:r>
        <w:t>Para o</w:t>
      </w:r>
      <w:r w:rsidR="009879B0">
        <w:t xml:space="preserve"> </w:t>
      </w:r>
      <w:r>
        <w:t xml:space="preserve">Painel TIC </w:t>
      </w:r>
      <w:r w:rsidR="009879B0">
        <w:t>é</w:t>
      </w:r>
      <w:r>
        <w:t xml:space="preserve"> utilizada como referência primária </w:t>
      </w:r>
      <w:r w:rsidR="00073781">
        <w:t>a</w:t>
      </w:r>
      <w:r>
        <w:t xml:space="preserve"> </w:t>
      </w:r>
      <w:r w:rsidR="009879B0">
        <w:t xml:space="preserve">última </w:t>
      </w:r>
      <w:r>
        <w:t>TIC Domicílios</w:t>
      </w:r>
      <w:r w:rsidR="006C11DD">
        <w:t xml:space="preserve"> (pesquisa probabilística)</w:t>
      </w:r>
      <w:r>
        <w:t xml:space="preserve"> </w:t>
      </w:r>
      <w:r w:rsidR="00BE13AE">
        <w:t>cujos dados tenham sido disponibilizados publicamente</w:t>
      </w:r>
      <w:r>
        <w:t xml:space="preserve">. Adicionalmente, os </w:t>
      </w:r>
      <w:r w:rsidRPr="00060744">
        <w:t xml:space="preserve">resultados da </w:t>
      </w:r>
      <w:r w:rsidRPr="00112285">
        <w:t xml:space="preserve">TIC Domicílios </w:t>
      </w:r>
      <w:r w:rsidR="009879B0">
        <w:t>são</w:t>
      </w:r>
      <w:r w:rsidRPr="00112285">
        <w:t xml:space="preserve"> </w:t>
      </w:r>
      <w:r w:rsidR="009879B0">
        <w:t>atualizados</w:t>
      </w:r>
      <w:r w:rsidRPr="00060744">
        <w:t xml:space="preserve"> para a</w:t>
      </w:r>
      <w:r w:rsidRPr="004F3930">
        <w:t xml:space="preserve"> população da</w:t>
      </w:r>
      <w:r w:rsidRPr="00060744">
        <w:t xml:space="preserve"> </w:t>
      </w:r>
      <w:r w:rsidRPr="00B92158">
        <w:t>Pesquisa Nacional por Amostra de Domicílios Contínua</w:t>
      </w:r>
      <w:r w:rsidR="00701FA3">
        <w:t xml:space="preserve"> (Pnad Contínua)</w:t>
      </w:r>
      <w:r>
        <w:t xml:space="preserve">, </w:t>
      </w:r>
      <w:r w:rsidRPr="00112285">
        <w:t>do IBGE</w:t>
      </w:r>
      <w:r>
        <w:t>,</w:t>
      </w:r>
      <w:r w:rsidRPr="00112285">
        <w:t xml:space="preserve"> referente</w:t>
      </w:r>
      <w:r>
        <w:t xml:space="preserve"> ao </w:t>
      </w:r>
      <w:r w:rsidR="009879B0">
        <w:t>último</w:t>
      </w:r>
      <w:r>
        <w:t xml:space="preserve"> trimestre </w:t>
      </w:r>
      <w:r w:rsidR="009879B0">
        <w:t>divulgado</w:t>
      </w:r>
      <w:r>
        <w:t xml:space="preserve">. O processo de ponderação dos respondentes do Painel TIC </w:t>
      </w:r>
      <w:r w:rsidR="006E4906">
        <w:t>é</w:t>
      </w:r>
      <w:r>
        <w:t xml:space="preserve"> dividido em duas etapas:</w:t>
      </w:r>
    </w:p>
    <w:p w14:paraId="745E9D9C" w14:textId="31219A28" w:rsidR="00EB56D5" w:rsidRDefault="00EB56D5" w:rsidP="00EB56D5">
      <w:pPr>
        <w:pStyle w:val="PargrafodaLista"/>
        <w:numPr>
          <w:ilvl w:val="0"/>
          <w:numId w:val="7"/>
        </w:numPr>
        <w:spacing w:after="160" w:line="259" w:lineRule="auto"/>
        <w:jc w:val="both"/>
      </w:pPr>
      <w:r>
        <w:t>Estimação do contingente total de usuários de Internet de 16 anos ou mais de idade no Brasil na data de referência da pesquisa que são representados pelos respondentes do Painel TIC</w:t>
      </w:r>
      <w:r w:rsidR="00701FA3">
        <w:t>.</w:t>
      </w:r>
    </w:p>
    <w:p w14:paraId="6CD15FD5" w14:textId="5053736B" w:rsidR="00EB56D5" w:rsidRDefault="00EB56D5" w:rsidP="00EB56D5">
      <w:pPr>
        <w:pStyle w:val="PargrafodaLista"/>
        <w:numPr>
          <w:ilvl w:val="0"/>
          <w:numId w:val="7"/>
        </w:numPr>
        <w:spacing w:after="160" w:line="259" w:lineRule="auto"/>
        <w:jc w:val="both"/>
      </w:pPr>
      <w:r>
        <w:t xml:space="preserve">Estimação de </w:t>
      </w:r>
      <w:r w:rsidRPr="00296A71">
        <w:rPr>
          <w:iCs/>
          <w:noProof/>
        </w:rPr>
        <w:t>pseudoprobabilidades</w:t>
      </w:r>
      <w:r>
        <w:t xml:space="preserve"> de seleção desses respondentes para ponderação do Painel TIC.</w:t>
      </w:r>
    </w:p>
    <w:p w14:paraId="37565974" w14:textId="77777777" w:rsidR="00EB56D5" w:rsidRDefault="00EB56D5" w:rsidP="00EB56D5">
      <w:pPr>
        <w:tabs>
          <w:tab w:val="left" w:pos="6630"/>
        </w:tabs>
        <w:jc w:val="both"/>
      </w:pPr>
    </w:p>
    <w:p w14:paraId="7787700C" w14:textId="77777777" w:rsidR="00BE13AE" w:rsidRDefault="00BE13AE">
      <w:pPr>
        <w:rPr>
          <w:b/>
          <w:bCs/>
        </w:rPr>
      </w:pPr>
      <w:r>
        <w:rPr>
          <w:b/>
          <w:bCs/>
        </w:rPr>
        <w:br w:type="page"/>
      </w:r>
    </w:p>
    <w:p w14:paraId="06B28059" w14:textId="01CD3615" w:rsidR="00EB56D5" w:rsidRPr="00412577" w:rsidRDefault="00701FA3" w:rsidP="00EB56D5">
      <w:pPr>
        <w:jc w:val="both"/>
        <w:rPr>
          <w:b/>
          <w:bCs/>
          <w:sz w:val="20"/>
          <w:szCs w:val="20"/>
        </w:rPr>
      </w:pPr>
      <w:r w:rsidRPr="00412577">
        <w:rPr>
          <w:b/>
          <w:bCs/>
          <w:sz w:val="20"/>
          <w:szCs w:val="20"/>
        </w:rPr>
        <w:lastRenderedPageBreak/>
        <w:t>&lt;4&gt;</w:t>
      </w:r>
      <w:r w:rsidR="00EB56D5" w:rsidRPr="00412577">
        <w:rPr>
          <w:b/>
          <w:bCs/>
          <w:sz w:val="20"/>
          <w:szCs w:val="20"/>
        </w:rPr>
        <w:t>E</w:t>
      </w:r>
      <w:r w:rsidRPr="00412577">
        <w:rPr>
          <w:b/>
          <w:bCs/>
          <w:sz w:val="20"/>
          <w:szCs w:val="20"/>
        </w:rPr>
        <w:t>tapa</w:t>
      </w:r>
      <w:r w:rsidR="00EB56D5" w:rsidRPr="00412577">
        <w:rPr>
          <w:b/>
          <w:bCs/>
          <w:sz w:val="20"/>
          <w:szCs w:val="20"/>
        </w:rPr>
        <w:t xml:space="preserve"> 1 - </w:t>
      </w:r>
      <w:r w:rsidR="00EB56D5" w:rsidRPr="00412577">
        <w:rPr>
          <w:b/>
          <w:bCs/>
          <w:iCs/>
          <w:sz w:val="20"/>
          <w:szCs w:val="20"/>
        </w:rPr>
        <w:t xml:space="preserve">Estimação do contingente de usuários de Internet representados no </w:t>
      </w:r>
      <w:r w:rsidR="00EB56D5" w:rsidRPr="00412577">
        <w:rPr>
          <w:b/>
          <w:iCs/>
          <w:sz w:val="20"/>
          <w:szCs w:val="20"/>
        </w:rPr>
        <w:t>Painel TIC</w:t>
      </w:r>
    </w:p>
    <w:p w14:paraId="08F29B92" w14:textId="7BF27BEA" w:rsidR="00EB56D5" w:rsidRDefault="00EB56D5" w:rsidP="00EB56D5">
      <w:pPr>
        <w:jc w:val="both"/>
      </w:pPr>
      <w:r>
        <w:t>A pesquisa TIC Domicílios</w:t>
      </w:r>
      <w:r w:rsidR="004439B3">
        <w:t xml:space="preserve"> (último resultado disponível)</w:t>
      </w:r>
      <w:r>
        <w:t>, a partir de uma abordagem probabilística tradicional, permite estimar o total de brasileiros de 10 anos ou mais de idade que são usuários de Internet</w:t>
      </w:r>
      <w:r>
        <w:rPr>
          <w:rStyle w:val="Refdenotaderodap"/>
        </w:rPr>
        <w:footnoteReference w:id="2"/>
      </w:r>
      <w:r>
        <w:t xml:space="preserve">. Já o Painel TIC conta com respondentes de 16 anos ou mais que são usuários de Internet, segundo parâmetros adotados internacionalmente (UIT, 2014). Para que as duas amostras </w:t>
      </w:r>
      <w:r w:rsidR="004439B3">
        <w:t>sejam</w:t>
      </w:r>
      <w:r>
        <w:t xml:space="preserve"> comparáveis, </w:t>
      </w:r>
      <w:r w:rsidR="004439B3">
        <w:t>são</w:t>
      </w:r>
      <w:r>
        <w:t xml:space="preserve"> filtrados os resultados da TIC Domicílios referentes </w:t>
      </w:r>
      <w:r w:rsidR="006C11DD">
        <w:t xml:space="preserve">à </w:t>
      </w:r>
      <w:r>
        <w:t xml:space="preserve">mesma faixa etária. </w:t>
      </w:r>
    </w:p>
    <w:p w14:paraId="5E46DD38" w14:textId="0A71A1D1" w:rsidR="00EB56D5" w:rsidRDefault="00EB56D5" w:rsidP="00EB56D5">
      <w:pPr>
        <w:jc w:val="both"/>
      </w:pPr>
      <w:r>
        <w:t xml:space="preserve">Uma vez que a construção do conjunto de respondentes do Painel TIC não é feita de forma probabilística, não é possível considerá-lo </w:t>
      </w:r>
      <w:r w:rsidRPr="00795CBD">
        <w:rPr>
          <w:i/>
        </w:rPr>
        <w:t>a priori</w:t>
      </w:r>
      <w:r>
        <w:t xml:space="preserve"> como representativo do conjunto da população de usuários de Internet de 16 ou mais anos de idade. Para estimar o contingente da população que é representada pelos respondentes do painel, adotou-se o procedimento de estimação baseado em escores de propensão (</w:t>
      </w:r>
      <w:r w:rsidRPr="00F01AAB">
        <w:rPr>
          <w:i/>
          <w:iCs/>
        </w:rPr>
        <w:t>propensity scores</w:t>
      </w:r>
      <w:r>
        <w:t xml:space="preserve">). Nessa metodologia </w:t>
      </w:r>
      <w:r w:rsidRPr="00A834F4">
        <w:t>são</w:t>
      </w:r>
      <w:r>
        <w:t xml:space="preserve"> calculados, inicialmente, os escores de propensão de ser usuário de Internet segundo variáveis socioeconômicas com base na </w:t>
      </w:r>
      <w:r w:rsidR="004439B3">
        <w:t xml:space="preserve">última TIC Domicílios </w:t>
      </w:r>
      <w:r>
        <w:t xml:space="preserve">disponível. </w:t>
      </w:r>
      <w:r w:rsidR="006C11DD">
        <w:t>Em seguida</w:t>
      </w:r>
      <w:r>
        <w:t xml:space="preserve">, esse mesmo modelo é utilizado para estimar os escores de propensão para os respondentes do Painel TIC. </w:t>
      </w:r>
    </w:p>
    <w:p w14:paraId="5FA19B7D" w14:textId="34187508" w:rsidR="00EB56D5" w:rsidRDefault="00EB56D5" w:rsidP="00EB56D5">
      <w:pPr>
        <w:jc w:val="both"/>
      </w:pPr>
      <w:r>
        <w:t xml:space="preserve">Comparando a distribuição dos escores de propensão do Painel TIC com a verificada na pesquisa </w:t>
      </w:r>
      <w:r w:rsidR="004439B3">
        <w:t xml:space="preserve">última </w:t>
      </w:r>
      <w:r>
        <w:t xml:space="preserve">TIC Domicílios é possível determinar qual parte </w:t>
      </w:r>
      <w:r w:rsidR="00114AEB">
        <w:t>d</w:t>
      </w:r>
      <w:r>
        <w:t>a população</w:t>
      </w:r>
      <w:r w:rsidR="00655E08">
        <w:t xml:space="preserve"> de usuários de Internet de 16 anos </w:t>
      </w:r>
      <w:r w:rsidR="005155AF">
        <w:t xml:space="preserve">ou </w:t>
      </w:r>
      <w:r w:rsidR="00655E08">
        <w:t>mais de idade</w:t>
      </w:r>
      <w:r>
        <w:t xml:space="preserve"> da </w:t>
      </w:r>
      <w:r w:rsidR="004439B3">
        <w:t xml:space="preserve">última </w:t>
      </w:r>
      <w:r>
        <w:t xml:space="preserve">pesquisa </w:t>
      </w:r>
      <w:r w:rsidR="004439B3">
        <w:t>TIC Domicílios</w:t>
      </w:r>
      <w:r>
        <w:t xml:space="preserve"> </w:t>
      </w:r>
      <w:r w:rsidR="00114AEB">
        <w:t xml:space="preserve">(ou se toda ela) </w:t>
      </w:r>
      <w:r>
        <w:t xml:space="preserve">poderia ser considerada representada pelos respondentes do </w:t>
      </w:r>
      <w:r w:rsidR="005155AF">
        <w:t>P</w:t>
      </w:r>
      <w:r>
        <w:t>ainel</w:t>
      </w:r>
      <w:r w:rsidR="005155AF">
        <w:t xml:space="preserve"> TIC</w:t>
      </w:r>
      <w:r>
        <w:t xml:space="preserve">. Isso equivale a estimar o erro de cobertura do </w:t>
      </w:r>
      <w:r w:rsidR="005155AF">
        <w:t>painel</w:t>
      </w:r>
      <w:r w:rsidR="004439B3">
        <w:t xml:space="preserve"> </w:t>
      </w:r>
      <w:r>
        <w:t xml:space="preserve">em relação à população-alvo inicialmente considerada para a pesquisa. </w:t>
      </w:r>
    </w:p>
    <w:p w14:paraId="55D6E4B3" w14:textId="0579B6BD" w:rsidR="00EB56D5" w:rsidRDefault="00EB56D5" w:rsidP="00EB56D5">
      <w:pPr>
        <w:jc w:val="both"/>
      </w:pPr>
      <w:r>
        <w:t xml:space="preserve">A partir dessa comparação é estabelecido um ponto de corte que determina, na base da </w:t>
      </w:r>
      <w:r w:rsidR="004439B3">
        <w:t xml:space="preserve">última </w:t>
      </w:r>
      <w:r>
        <w:t xml:space="preserve">pesquisa TIC Domicílios, o conjunto de unidades investigadas cujos escores de propensão parecem bem representados pelos respondentes do Painel TIC. </w:t>
      </w:r>
    </w:p>
    <w:p w14:paraId="30107C26" w14:textId="17EE7750" w:rsidR="00EB56D5" w:rsidRDefault="00EB56D5" w:rsidP="00EB56D5">
      <w:pPr>
        <w:jc w:val="both"/>
      </w:pPr>
      <w:r>
        <w:t>Esse procedimento tem por objetivo determinar a população que é representada pelo Painel TIC</w:t>
      </w:r>
      <w:r w:rsidR="0062447A">
        <w:t xml:space="preserve"> </w:t>
      </w:r>
      <w:r>
        <w:t xml:space="preserve">e considerar, para efeitos de comparação de resultados, essa mesma população entre os usuários de Internet na </w:t>
      </w:r>
      <w:r w:rsidR="0062447A">
        <w:t xml:space="preserve">última </w:t>
      </w:r>
      <w:r>
        <w:t>pesquisa TIC Domicílios.</w:t>
      </w:r>
    </w:p>
    <w:p w14:paraId="03777E79" w14:textId="386B6AFF" w:rsidR="00EB56D5" w:rsidRDefault="00EB56D5" w:rsidP="00EB56D5">
      <w:pPr>
        <w:jc w:val="both"/>
      </w:pPr>
      <w:r>
        <w:t>O processo de determinação dessa população segu</w:t>
      </w:r>
      <w:r w:rsidR="0062447A">
        <w:t>e</w:t>
      </w:r>
      <w:r>
        <w:t xml:space="preserve"> quatro passos:</w:t>
      </w:r>
    </w:p>
    <w:p w14:paraId="1A3B9212" w14:textId="45222FC0" w:rsidR="00EB56D5" w:rsidRDefault="00EB56D5" w:rsidP="00EB56D5">
      <w:pPr>
        <w:pStyle w:val="PargrafodaLista"/>
        <w:numPr>
          <w:ilvl w:val="0"/>
          <w:numId w:val="3"/>
        </w:numPr>
        <w:spacing w:after="160" w:line="259" w:lineRule="auto"/>
        <w:jc w:val="both"/>
      </w:pPr>
      <w:r>
        <w:t xml:space="preserve">Atualização de totais de população da </w:t>
      </w:r>
      <w:r w:rsidR="007A09F7">
        <w:t xml:space="preserve">última </w:t>
      </w:r>
      <w:r>
        <w:t xml:space="preserve">pesquisa TIC Domicílios para </w:t>
      </w:r>
      <w:r w:rsidR="007A09F7">
        <w:t>totais do</w:t>
      </w:r>
      <w:r>
        <w:t xml:space="preserve"> </w:t>
      </w:r>
      <w:r w:rsidR="007A09F7">
        <w:t xml:space="preserve">último </w:t>
      </w:r>
      <w:r>
        <w:t xml:space="preserve">trimestre </w:t>
      </w:r>
      <w:r w:rsidR="007A09F7">
        <w:t>divulgado pela</w:t>
      </w:r>
      <w:r w:rsidRPr="00060744">
        <w:t xml:space="preserve"> P</w:t>
      </w:r>
      <w:r>
        <w:t>nad</w:t>
      </w:r>
      <w:r w:rsidRPr="00112285">
        <w:t xml:space="preserve"> Contínua</w:t>
      </w:r>
      <w:r w:rsidR="007A09F7">
        <w:t xml:space="preserve"> realizada</w:t>
      </w:r>
      <w:r>
        <w:t xml:space="preserve"> pelo IBGE</w:t>
      </w:r>
      <w:r w:rsidR="001B4D7F">
        <w:t>.</w:t>
      </w:r>
    </w:p>
    <w:p w14:paraId="7A5F7329" w14:textId="306BF2F2" w:rsidR="00EB56D5" w:rsidRDefault="00EB56D5" w:rsidP="00EB56D5">
      <w:pPr>
        <w:pStyle w:val="PargrafodaLista"/>
        <w:numPr>
          <w:ilvl w:val="0"/>
          <w:numId w:val="3"/>
        </w:numPr>
        <w:spacing w:after="160" w:line="259" w:lineRule="auto"/>
        <w:jc w:val="both"/>
      </w:pPr>
      <w:r>
        <w:t xml:space="preserve">Ajuste de modelo de regressão logística tendo “usuário de Internet” como variável resposta e um conjunto de </w:t>
      </w:r>
      <w:r w:rsidR="00FF4CAD">
        <w:t xml:space="preserve">fatores </w:t>
      </w:r>
      <w:r>
        <w:t>socioeconômic</w:t>
      </w:r>
      <w:r w:rsidR="00FF4CAD">
        <w:t>o</w:t>
      </w:r>
      <w:r>
        <w:t xml:space="preserve">s comuns a essa pesquisa e ao Painel TIC como variáveis explicativas. Esse modelo </w:t>
      </w:r>
      <w:r w:rsidR="001A569A">
        <w:t>é</w:t>
      </w:r>
      <w:r>
        <w:t xml:space="preserve"> então usado para estimar os escores de propensão a ser usuário de Internet para os respondentes da </w:t>
      </w:r>
      <w:r w:rsidR="001A569A">
        <w:t xml:space="preserve">última </w:t>
      </w:r>
      <w:r>
        <w:t>pesquisa TIC Domicílios</w:t>
      </w:r>
      <w:r w:rsidR="001B4D7F">
        <w:t>.</w:t>
      </w:r>
    </w:p>
    <w:p w14:paraId="3AD1D5B2" w14:textId="0AEE0676" w:rsidR="00EB56D5" w:rsidRDefault="00EB56D5" w:rsidP="00EB56D5">
      <w:pPr>
        <w:pStyle w:val="PargrafodaLista"/>
        <w:numPr>
          <w:ilvl w:val="0"/>
          <w:numId w:val="3"/>
        </w:numPr>
        <w:spacing w:after="160" w:line="259" w:lineRule="auto"/>
        <w:jc w:val="both"/>
      </w:pPr>
      <w:r>
        <w:lastRenderedPageBreak/>
        <w:t>Estimação dos escores de propensão para os respondentes d</w:t>
      </w:r>
      <w:r w:rsidR="001F5A52">
        <w:t>o</w:t>
      </w:r>
      <w:r>
        <w:t xml:space="preserve"> Painel </w:t>
      </w:r>
      <w:r w:rsidRPr="0065782E">
        <w:t>TIC</w:t>
      </w:r>
      <w:r>
        <w:t xml:space="preserve"> com base no modelo ajustado com os dados da </w:t>
      </w:r>
      <w:r w:rsidR="001A569A">
        <w:t xml:space="preserve">última </w:t>
      </w:r>
      <w:r>
        <w:t>pesquisa TIC Domicílios</w:t>
      </w:r>
      <w:r w:rsidR="001B4D7F">
        <w:t>.</w:t>
      </w:r>
    </w:p>
    <w:p w14:paraId="1EFFD36D" w14:textId="52F5265D" w:rsidR="00EB56D5" w:rsidRDefault="00EB56D5" w:rsidP="00EB56D5">
      <w:pPr>
        <w:pStyle w:val="PargrafodaLista"/>
        <w:numPr>
          <w:ilvl w:val="0"/>
          <w:numId w:val="3"/>
        </w:numPr>
        <w:spacing w:after="160" w:line="259" w:lineRule="auto"/>
        <w:jc w:val="both"/>
      </w:pPr>
      <w:r>
        <w:t>Determinação do ponto de corte que separ</w:t>
      </w:r>
      <w:r w:rsidR="001A569A">
        <w:t>a</w:t>
      </w:r>
      <w:r>
        <w:t xml:space="preserve"> tanto na amostra da </w:t>
      </w:r>
      <w:r w:rsidR="001A569A">
        <w:t xml:space="preserve">última </w:t>
      </w:r>
      <w:r>
        <w:t>pesquisa TIC Domicílios como no</w:t>
      </w:r>
      <w:r w:rsidRPr="00B40612">
        <w:t xml:space="preserve"> </w:t>
      </w:r>
      <w:r>
        <w:t xml:space="preserve">Painel </w:t>
      </w:r>
      <w:r w:rsidRPr="0065782E">
        <w:t>TIC</w:t>
      </w:r>
      <w:r>
        <w:t xml:space="preserve"> a parcela da população que estaria representada.</w:t>
      </w:r>
    </w:p>
    <w:p w14:paraId="575EB431" w14:textId="77777777" w:rsidR="00EB56D5" w:rsidRDefault="00EB56D5" w:rsidP="00EB56D5">
      <w:pPr>
        <w:jc w:val="both"/>
      </w:pPr>
    </w:p>
    <w:p w14:paraId="6733B376" w14:textId="0987C371" w:rsidR="00EB56D5" w:rsidRPr="004F3930" w:rsidRDefault="00EB56D5" w:rsidP="00EB56D5">
      <w:pPr>
        <w:jc w:val="both"/>
        <w:rPr>
          <w:i/>
          <w:iCs/>
        </w:rPr>
      </w:pPr>
      <w:r>
        <w:rPr>
          <w:i/>
          <w:iCs/>
        </w:rPr>
        <w:t xml:space="preserve">Passo </w:t>
      </w:r>
      <w:r w:rsidRPr="004F3930">
        <w:rPr>
          <w:i/>
          <w:iCs/>
        </w:rPr>
        <w:t xml:space="preserve">I. Atualização dos totais populacionais da </w:t>
      </w:r>
      <w:r w:rsidR="00646159">
        <w:rPr>
          <w:i/>
          <w:iCs/>
        </w:rPr>
        <w:t xml:space="preserve">última </w:t>
      </w:r>
      <w:r w:rsidRPr="004F3930">
        <w:rPr>
          <w:i/>
          <w:iCs/>
        </w:rPr>
        <w:t xml:space="preserve">pesquisa TIC Domicílios para o trimestre </w:t>
      </w:r>
      <w:r w:rsidR="00646159">
        <w:rPr>
          <w:i/>
          <w:iCs/>
        </w:rPr>
        <w:t>mais recentemente divulgado pela Pnad Contínua</w:t>
      </w:r>
    </w:p>
    <w:p w14:paraId="457892C7" w14:textId="4150CE05" w:rsidR="00EB56D5" w:rsidRDefault="00EB56D5" w:rsidP="00EB56D5">
      <w:pPr>
        <w:jc w:val="both"/>
      </w:pPr>
      <w:r>
        <w:t xml:space="preserve">O objetivo desse passo </w:t>
      </w:r>
      <w:r w:rsidR="00B67234">
        <w:t xml:space="preserve">é </w:t>
      </w:r>
      <w:r>
        <w:t xml:space="preserve">atualizar as estimativas populacionais para a população de 10 anos ou mais de idade da </w:t>
      </w:r>
      <w:r w:rsidR="00EC1617">
        <w:t xml:space="preserve">última </w:t>
      </w:r>
      <w:r>
        <w:t>pesquisa TI</w:t>
      </w:r>
      <w:r w:rsidR="001F5A52">
        <w:t>C</w:t>
      </w:r>
      <w:r>
        <w:t xml:space="preserve"> Domicílios, tendo como base dados divulgados pelo IBGE n</w:t>
      </w:r>
      <w:r w:rsidR="00EC1617">
        <w:t>a última P</w:t>
      </w:r>
      <w:r w:rsidR="000B5B36">
        <w:t>nad</w:t>
      </w:r>
      <w:r w:rsidR="00EC1617">
        <w:t xml:space="preserve"> Contínua</w:t>
      </w:r>
      <w:r>
        <w:t>. Os cálculos atualiza</w:t>
      </w:r>
      <w:r w:rsidR="00EC1617">
        <w:t>m</w:t>
      </w:r>
      <w:r>
        <w:t xml:space="preserve"> o total da população de 10 anos ou mais de idade a partir das estimativas informadas nos microdados da Pnad Contínua. Em seguida, e seguindo a mesma distribuição percentual dos calibradores utilizados na </w:t>
      </w:r>
      <w:r w:rsidR="00EC1617">
        <w:t xml:space="preserve">última </w:t>
      </w:r>
      <w:r>
        <w:t xml:space="preserve">pesquisa TIC Domicílios, </w:t>
      </w:r>
      <w:r w:rsidR="00EC1617">
        <w:t>é</w:t>
      </w:r>
      <w:r>
        <w:t xml:space="preserve"> refeita a </w:t>
      </w:r>
      <w:r w:rsidR="00EC1617">
        <w:t>atualização</w:t>
      </w:r>
      <w:r>
        <w:t xml:space="preserve"> dos pesos da pesquisa segundo os novos totais das distribuições marginais das variáveis consideradas na calibração.</w:t>
      </w:r>
    </w:p>
    <w:p w14:paraId="6B56017D" w14:textId="532B856A" w:rsidR="005D3320" w:rsidRDefault="005D3320">
      <w:pPr>
        <w:rPr>
          <w:i/>
          <w:iCs/>
        </w:rPr>
      </w:pPr>
    </w:p>
    <w:p w14:paraId="4DE7F881" w14:textId="13B6B731" w:rsidR="00EB56D5" w:rsidRPr="004F3930" w:rsidRDefault="00EB56D5" w:rsidP="004F7A80">
      <w:pPr>
        <w:keepNext/>
        <w:jc w:val="both"/>
        <w:rPr>
          <w:i/>
          <w:iCs/>
        </w:rPr>
      </w:pPr>
      <w:r>
        <w:rPr>
          <w:i/>
          <w:iCs/>
        </w:rPr>
        <w:t xml:space="preserve">Passo </w:t>
      </w:r>
      <w:r w:rsidRPr="004F3930">
        <w:rPr>
          <w:i/>
          <w:iCs/>
        </w:rPr>
        <w:t xml:space="preserve">II. Ajuste do modelo de regressão logística para a variável “usuário de Internet” entre os respondentes de 16 ou mais anos de idade </w:t>
      </w:r>
      <w:r>
        <w:rPr>
          <w:i/>
          <w:iCs/>
        </w:rPr>
        <w:t>na</w:t>
      </w:r>
      <w:r w:rsidRPr="004F3930">
        <w:rPr>
          <w:i/>
          <w:iCs/>
        </w:rPr>
        <w:t xml:space="preserve"> TIC Domicílio</w:t>
      </w:r>
      <w:r w:rsidR="003D2142">
        <w:rPr>
          <w:i/>
          <w:iCs/>
        </w:rPr>
        <w:t>s</w:t>
      </w:r>
    </w:p>
    <w:p w14:paraId="57354A73" w14:textId="6D0F1CDF" w:rsidR="00EB56D5" w:rsidRDefault="00EB56D5" w:rsidP="00EB56D5">
      <w:pPr>
        <w:jc w:val="both"/>
      </w:pPr>
      <w:r>
        <w:t>Essa etapa busc</w:t>
      </w:r>
      <w:r w:rsidR="003D2142">
        <w:t>a</w:t>
      </w:r>
      <w:r>
        <w:t xml:space="preserve"> estimar com qualidade a probabilidade de um indivíduo ser usuário de Internet</w:t>
      </w:r>
      <w:r w:rsidRPr="005F26F5">
        <w:t xml:space="preserve"> </w:t>
      </w:r>
      <w:r>
        <w:t xml:space="preserve">a partir de variáveis socioeconômicas </w:t>
      </w:r>
      <w:r w:rsidRPr="002B077B">
        <w:t xml:space="preserve">observadas na </w:t>
      </w:r>
      <w:r w:rsidR="00211441">
        <w:t xml:space="preserve">última </w:t>
      </w:r>
      <w:r w:rsidRPr="002B077B">
        <w:t xml:space="preserve">pesquisa </w:t>
      </w:r>
      <w:r w:rsidRPr="004F3930">
        <w:t>TIC Domicílios</w:t>
      </w:r>
      <w:r>
        <w:t xml:space="preserve"> e</w:t>
      </w:r>
      <w:r w:rsidRPr="004F3930">
        <w:t xml:space="preserve"> que também estão disponíveis no Painel TIC</w:t>
      </w:r>
      <w:r w:rsidRPr="002B077B">
        <w:t>.</w:t>
      </w:r>
      <w:r>
        <w:t xml:space="preserve"> Com o objetivo de obter um modelo parcimonioso e que </w:t>
      </w:r>
      <w:r w:rsidR="00B67234">
        <w:t xml:space="preserve">dê </w:t>
      </w:r>
      <w:r>
        <w:t>bons resultados na estimação de usuários de Internet</w:t>
      </w:r>
      <w:r w:rsidR="001F5A52">
        <w:t>,</w:t>
      </w:r>
      <w:r>
        <w:t xml:space="preserve"> </w:t>
      </w:r>
      <w:r w:rsidR="00B67234">
        <w:t xml:space="preserve">são </w:t>
      </w:r>
      <w:r>
        <w:t>testados diversos modelos</w:t>
      </w:r>
      <w:r w:rsidR="00B67234">
        <w:t>,</w:t>
      </w:r>
      <w:r>
        <w:t xml:space="preserve"> </w:t>
      </w:r>
      <w:r w:rsidR="001F5A52">
        <w:t>conforme a Fórmula 1.</w:t>
      </w:r>
    </w:p>
    <w:p w14:paraId="75264A14" w14:textId="7D0784A9" w:rsidR="001F5A52" w:rsidRPr="00412577" w:rsidRDefault="001F5A52" w:rsidP="00EB56D5">
      <w:pPr>
        <w:jc w:val="both"/>
        <w:rPr>
          <w:b/>
          <w:bCs/>
        </w:rPr>
      </w:pPr>
      <w:r w:rsidRPr="00412577">
        <w:rPr>
          <w:b/>
          <w:bCs/>
        </w:rPr>
        <w:t>Fórmula 1</w:t>
      </w:r>
    </w:p>
    <w:p w14:paraId="3275F299" w14:textId="77777777" w:rsidR="00EB56D5" w:rsidRDefault="00EB56D5" w:rsidP="00EB56D5">
      <w:pPr>
        <w:jc w:val="both"/>
      </w:pPr>
    </w:p>
    <w:p w14:paraId="71E8A2BB" w14:textId="77777777" w:rsidR="00EB56D5" w:rsidRPr="00AB11B6" w:rsidRDefault="00EB56D5" w:rsidP="00EB56D5">
      <w:pPr>
        <w:jc w:val="both"/>
        <w:rPr>
          <w:rFonts w:eastAsiaTheme="minorEastAsia"/>
        </w:rPr>
      </w:pPr>
      <m:oMathPara>
        <m:oMath>
          <m:r>
            <w:rPr>
              <w:rFonts w:ascii="Cambria Math" w:hAnsi="Cambria Math"/>
            </w:rPr>
            <m:t>log</m:t>
          </m:r>
          <m:d>
            <m:dPr>
              <m:ctrlPr>
                <w:rPr>
                  <w:rFonts w:ascii="Cambria Math" w:hAnsi="Cambria Math"/>
                  <w:i/>
                </w:rPr>
              </m:ctrlPr>
            </m:dPr>
            <m:e>
              <m:f>
                <m:fPr>
                  <m:ctrlPr>
                    <w:rPr>
                      <w:rFonts w:ascii="Cambria Math" w:hAnsi="Cambria Math"/>
                      <w:i/>
                    </w:rPr>
                  </m:ctrlPr>
                </m:fPr>
                <m:num>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num>
                <m:den>
                  <m:r>
                    <w:rPr>
                      <w:rFonts w:ascii="Cambria Math" w:hAnsi="Cambria Math"/>
                    </w:rPr>
                    <m:t>1-P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den>
              </m:f>
            </m:e>
          </m:d>
          <m:r>
            <w:rPr>
              <w:rFonts w:ascii="Cambria Math" w:hAnsi="Cambria Math"/>
            </w:rPr>
            <m:t>=α+</m:t>
          </m:r>
          <m:r>
            <m:rPr>
              <m:nor/>
            </m:rPr>
            <w:rPr>
              <w:rFonts w:ascii="Cambria Math" w:hAnsi="Cambria Math"/>
              <w:b/>
              <w:bCs/>
            </w:rPr>
            <m:t>β</m:t>
          </m:r>
          <m:sSub>
            <m:sSubPr>
              <m:ctrlPr>
                <w:rPr>
                  <w:rFonts w:ascii="Cambria Math" w:hAnsi="Cambria Math"/>
                  <w:i/>
                </w:rPr>
              </m:ctrlPr>
            </m:sSubPr>
            <m:e>
              <m:r>
                <m:rPr>
                  <m:nor/>
                </m:rPr>
                <w:rPr>
                  <w:rFonts w:ascii="Cambria Math" w:hAnsi="Cambria Math"/>
                  <w:b/>
                  <w:bCs/>
                </w:rPr>
                <m:t>X</m:t>
              </m:r>
            </m:e>
            <m:sub>
              <m:r>
                <w:rPr>
                  <w:rFonts w:ascii="Cambria Math" w:hAnsi="Cambria Math"/>
                </w:rPr>
                <m:t>i</m:t>
              </m:r>
            </m:sub>
          </m:sSub>
        </m:oMath>
      </m:oMathPara>
    </w:p>
    <w:p w14:paraId="00B91C16" w14:textId="77777777" w:rsidR="001F5A52" w:rsidRDefault="001F5A52" w:rsidP="00EB56D5">
      <w:pPr>
        <w:jc w:val="both"/>
        <w:rPr>
          <w:rFonts w:eastAsiaTheme="minorEastAsia"/>
        </w:rPr>
      </w:pPr>
    </w:p>
    <w:p w14:paraId="1E2F8441" w14:textId="090FA551" w:rsidR="00EB56D5" w:rsidRDefault="002C5541" w:rsidP="00EB56D5">
      <w:pPr>
        <w:jc w:val="both"/>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EB56D5">
        <w:rPr>
          <w:rFonts w:eastAsiaTheme="minorEastAsia"/>
        </w:rPr>
        <w:t xml:space="preserve"> é uma variável indicadora, tomando valor 1 se o indivíduo </w:t>
      </w:r>
      <w:r w:rsidR="00EB56D5">
        <w:rPr>
          <w:rFonts w:eastAsiaTheme="minorEastAsia"/>
          <w:i/>
          <w:iCs/>
        </w:rPr>
        <w:t>i</w:t>
      </w:r>
      <w:r w:rsidR="00EB56D5">
        <w:rPr>
          <w:rFonts w:eastAsiaTheme="minorEastAsia"/>
        </w:rPr>
        <w:t xml:space="preserve"> é usuário de Internet, e valor 0</w:t>
      </w:r>
      <w:r w:rsidR="00965379">
        <w:rPr>
          <w:rFonts w:eastAsiaTheme="minorEastAsia"/>
        </w:rPr>
        <w:t>,</w:t>
      </w:r>
      <w:r w:rsidR="00EB56D5">
        <w:rPr>
          <w:rFonts w:eastAsiaTheme="minorEastAsia"/>
        </w:rPr>
        <w:t xml:space="preserve"> caso contrário </w:t>
      </w:r>
    </w:p>
    <w:p w14:paraId="1FF16AB6" w14:textId="3845D64A" w:rsidR="00EB56D5" w:rsidRDefault="002C5541" w:rsidP="00EB56D5">
      <w:pPr>
        <w:jc w:val="both"/>
        <w:rPr>
          <w:rFonts w:eastAsiaTheme="minorEastAsia"/>
        </w:rPr>
      </w:pPr>
      <m:oMath>
        <m:sSub>
          <m:sSubPr>
            <m:ctrlPr>
              <w:rPr>
                <w:rFonts w:ascii="Cambria Math" w:hAnsi="Cambria Math"/>
                <w:i/>
              </w:rPr>
            </m:ctrlPr>
          </m:sSubPr>
          <m:e>
            <m:r>
              <m:rPr>
                <m:sty m:val="b"/>
              </m:rPr>
              <w:rPr>
                <w:rFonts w:ascii="Cambria Math" w:hAnsi="Cambria Math"/>
              </w:rPr>
              <m:t>X</m:t>
            </m:r>
          </m:e>
          <m:sub>
            <m:r>
              <w:rPr>
                <w:rFonts w:ascii="Cambria Math" w:hAnsi="Cambria Math"/>
              </w:rPr>
              <m:t>i</m:t>
            </m:r>
          </m:sub>
        </m:sSub>
      </m:oMath>
      <w:r w:rsidR="00EB56D5">
        <w:rPr>
          <w:rFonts w:eastAsiaTheme="minorEastAsia"/>
        </w:rPr>
        <w:t xml:space="preserve"> é um vetor com os valores de variáveis explicativas (sexo, faixa etária, escolaridade etc.) do indivíduo </w:t>
      </w:r>
      <w:r w:rsidR="00EB56D5" w:rsidRPr="000E2336">
        <w:rPr>
          <w:rFonts w:ascii="Cambria" w:eastAsiaTheme="minorEastAsia" w:hAnsi="Cambria"/>
          <w:i/>
          <w:iCs/>
        </w:rPr>
        <w:t>i</w:t>
      </w:r>
    </w:p>
    <w:p w14:paraId="0B978B55" w14:textId="6A3AA1C2" w:rsidR="00EB56D5" w:rsidRDefault="00EB56D5" w:rsidP="00EB56D5">
      <w:pPr>
        <w:jc w:val="both"/>
        <w:rPr>
          <w:rFonts w:eastAsiaTheme="minorEastAsia"/>
        </w:rPr>
      </w:p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oMath>
      <w:r>
        <w:rPr>
          <w:rFonts w:eastAsiaTheme="minorEastAsia"/>
        </w:rPr>
        <w:t xml:space="preserve"> representa a probabilidade do indivíduo ser usuário de Internet </w:t>
      </w:r>
    </w:p>
    <w:p w14:paraId="4FC8ECBB" w14:textId="665C7740" w:rsidR="00EB56D5" w:rsidRPr="000E2336" w:rsidRDefault="00EB56D5" w:rsidP="00EB56D5">
      <w:pPr>
        <w:jc w:val="both"/>
        <w:rPr>
          <w:rFonts w:eastAsiaTheme="minorEastAsia"/>
        </w:rPr>
      </w:pPr>
      <m:oMath>
        <m:r>
          <w:rPr>
            <w:rFonts w:ascii="Cambria Math" w:hAnsi="Cambria Math"/>
          </w:rPr>
          <m:t>α</m:t>
        </m:r>
      </m:oMath>
      <w:r>
        <w:rPr>
          <w:rFonts w:eastAsiaTheme="minorEastAsia"/>
        </w:rPr>
        <w:t xml:space="preserve"> </w:t>
      </w:r>
      <w:r w:rsidRPr="00691F36">
        <w:rPr>
          <w:rFonts w:eastAsiaTheme="minorEastAsia"/>
        </w:rPr>
        <w:t>e</w:t>
      </w:r>
      <w:r>
        <w:rPr>
          <w:rFonts w:eastAsiaTheme="minorEastAsia"/>
        </w:rPr>
        <w:t xml:space="preserve"> </w:t>
      </w:r>
      <m:oMath>
        <m:r>
          <m:rPr>
            <m:sty m:val="b"/>
          </m:rPr>
          <w:rPr>
            <w:rFonts w:ascii="Cambria Math" w:hAnsi="Cambria Math"/>
          </w:rPr>
          <m:t>β</m:t>
        </m:r>
      </m:oMath>
      <w:r>
        <w:rPr>
          <w:rFonts w:eastAsiaTheme="minorEastAsia"/>
          <w:b/>
          <w:bCs/>
          <w:iCs/>
        </w:rPr>
        <w:t xml:space="preserve"> </w:t>
      </w:r>
      <w:r>
        <w:rPr>
          <w:rFonts w:eastAsiaTheme="minorEastAsia"/>
          <w:iCs/>
        </w:rPr>
        <w:t>são parâmetros do modelo, a serem estimados</w:t>
      </w:r>
    </w:p>
    <w:p w14:paraId="6A2EAC41" w14:textId="765513E5" w:rsidR="00EB56D5" w:rsidRDefault="00EB56D5" w:rsidP="00EB56D5">
      <w:pPr>
        <w:jc w:val="both"/>
        <w:rPr>
          <w:rFonts w:eastAsiaTheme="minorEastAsia"/>
        </w:rPr>
      </w:pPr>
      <w:r>
        <w:lastRenderedPageBreak/>
        <w:t xml:space="preserve">As estimativas para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oMath>
      <w:r>
        <w:rPr>
          <w:rFonts w:eastAsiaTheme="minorEastAsia"/>
        </w:rPr>
        <w:t xml:space="preserve"> fornecidas pela expressão</w:t>
      </w:r>
      <w:r w:rsidR="00B67234">
        <w:rPr>
          <w:rFonts w:eastAsiaTheme="minorEastAsia"/>
        </w:rPr>
        <w:t>:</w:t>
      </w:r>
    </w:p>
    <w:p w14:paraId="1B933027" w14:textId="77777777" w:rsidR="00EB56D5" w:rsidRPr="0080203E" w:rsidRDefault="002C5541" w:rsidP="00EB56D5">
      <w:pPr>
        <w:jc w:val="both"/>
        <w:rPr>
          <w:rFonts w:eastAsiaTheme="minorEastAsia"/>
        </w:rPr>
      </w:pPr>
      <m:oMathPara>
        <m:oMath>
          <m:acc>
            <m:accPr>
              <m:ctrlPr>
                <w:rPr>
                  <w:rFonts w:ascii="Cambria Math" w:hAnsi="Cambria Math"/>
                  <w:i/>
                </w:rPr>
              </m:ctrlPr>
            </m:accPr>
            <m:e>
              <m:r>
                <w:rPr>
                  <w:rFonts w:ascii="Cambria Math" w:hAnsi="Cambria Math"/>
                </w:rPr>
                <m:t>P</m:t>
              </m:r>
            </m:e>
          </m:acc>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r>
            <w:rPr>
              <w:rFonts w:ascii="Cambria Math" w:hAnsi="Cambria Math"/>
            </w:rPr>
            <m:t xml:space="preserve">= </m:t>
          </m:r>
          <m:f>
            <m:fPr>
              <m:ctrlPr>
                <w:rPr>
                  <w:rFonts w:ascii="Cambria Math" w:hAnsi="Cambria Math"/>
                  <w:i/>
                </w:rPr>
              </m:ctrlPr>
            </m:fPr>
            <m:num>
              <m:r>
                <w:rPr>
                  <w:rFonts w:ascii="Cambria Math" w:hAnsi="Cambria Math"/>
                </w:rPr>
                <m:t>exp</m:t>
              </m:r>
              <m:d>
                <m:dPr>
                  <m:ctrlPr>
                    <w:rPr>
                      <w:rFonts w:ascii="Cambria Math" w:hAnsi="Cambria Math"/>
                      <w:i/>
                    </w:rPr>
                  </m:ctrlPr>
                </m:dPr>
                <m:e>
                  <m:acc>
                    <m:accPr>
                      <m:ctrlPr>
                        <w:rPr>
                          <w:rFonts w:ascii="Cambria Math" w:hAnsi="Cambria Math"/>
                          <w:i/>
                        </w:rPr>
                      </m:ctrlPr>
                    </m:accPr>
                    <m:e>
                      <m:r>
                        <w:rPr>
                          <w:rFonts w:ascii="Cambria Math" w:hAnsi="Cambria Math"/>
                        </w:rPr>
                        <m:t>α</m:t>
                      </m:r>
                    </m:e>
                  </m:acc>
                  <m:r>
                    <w:rPr>
                      <w:rFonts w:ascii="Cambria Math" w:hAnsi="Cambria Math"/>
                    </w:rPr>
                    <m:t>+</m:t>
                  </m:r>
                  <m:acc>
                    <m:accPr>
                      <m:ctrlPr>
                        <w:rPr>
                          <w:rFonts w:ascii="Cambria Math" w:hAnsi="Cambria Math"/>
                          <w:b/>
                          <w:bCs/>
                          <w:iCs/>
                        </w:rPr>
                      </m:ctrlPr>
                    </m:accPr>
                    <m:e>
                      <m:r>
                        <m:rPr>
                          <m:sty m:val="b"/>
                        </m:rPr>
                        <w:rPr>
                          <w:rFonts w:ascii="Cambria Math" w:hAnsi="Cambria Math"/>
                        </w:rPr>
                        <m:t>β</m:t>
                      </m:r>
                    </m:e>
                  </m:acc>
                  <m:sSubSup>
                    <m:sSubSupPr>
                      <m:ctrlPr>
                        <w:rPr>
                          <w:rFonts w:ascii="Cambria Math" w:hAnsi="Cambria Math"/>
                          <w:i/>
                        </w:rPr>
                      </m:ctrlPr>
                    </m:sSubSupPr>
                    <m:e>
                      <m:r>
                        <m:rPr>
                          <m:nor/>
                        </m:rPr>
                        <w:rPr>
                          <w:rFonts w:ascii="Cambria Math" w:hAnsi="Cambria Math"/>
                          <w:b/>
                          <w:bCs/>
                        </w:rPr>
                        <m:t>X</m:t>
                      </m:r>
                    </m:e>
                    <m:sub>
                      <m:r>
                        <w:rPr>
                          <w:rFonts w:ascii="Cambria Math" w:hAnsi="Cambria Math"/>
                        </w:rPr>
                        <m:t>i</m:t>
                      </m:r>
                    </m:sub>
                    <m:sup/>
                  </m:sSubSup>
                </m:e>
              </m:d>
            </m:num>
            <m:den>
              <m:r>
                <w:rPr>
                  <w:rFonts w:ascii="Cambria Math" w:hAnsi="Cambria Math"/>
                </w:rPr>
                <m:t>1+exp</m:t>
              </m:r>
              <m:d>
                <m:dPr>
                  <m:ctrlPr>
                    <w:rPr>
                      <w:rFonts w:ascii="Cambria Math" w:hAnsi="Cambria Math"/>
                      <w:i/>
                    </w:rPr>
                  </m:ctrlPr>
                </m:dPr>
                <m:e>
                  <m:acc>
                    <m:accPr>
                      <m:ctrlPr>
                        <w:rPr>
                          <w:rFonts w:ascii="Cambria Math" w:hAnsi="Cambria Math"/>
                          <w:i/>
                        </w:rPr>
                      </m:ctrlPr>
                    </m:accPr>
                    <m:e>
                      <m:r>
                        <w:rPr>
                          <w:rFonts w:ascii="Cambria Math" w:hAnsi="Cambria Math"/>
                        </w:rPr>
                        <m:t>α</m:t>
                      </m:r>
                    </m:e>
                  </m:acc>
                  <m:r>
                    <w:rPr>
                      <w:rFonts w:ascii="Cambria Math" w:hAnsi="Cambria Math"/>
                    </w:rPr>
                    <m:t>+</m:t>
                  </m:r>
                  <m:acc>
                    <m:accPr>
                      <m:ctrlPr>
                        <w:rPr>
                          <w:rFonts w:ascii="Cambria Math" w:hAnsi="Cambria Math"/>
                          <w:b/>
                          <w:bCs/>
                          <w:iCs/>
                        </w:rPr>
                      </m:ctrlPr>
                    </m:accPr>
                    <m:e>
                      <m:r>
                        <m:rPr>
                          <m:sty m:val="b"/>
                        </m:rPr>
                        <w:rPr>
                          <w:rFonts w:ascii="Cambria Math" w:hAnsi="Cambria Math"/>
                        </w:rPr>
                        <m:t>β</m:t>
                      </m:r>
                    </m:e>
                  </m:acc>
                  <m:sSubSup>
                    <m:sSubSupPr>
                      <m:ctrlPr>
                        <w:rPr>
                          <w:rFonts w:ascii="Cambria Math" w:hAnsi="Cambria Math"/>
                          <w:i/>
                        </w:rPr>
                      </m:ctrlPr>
                    </m:sSubSupPr>
                    <m:e>
                      <m:r>
                        <m:rPr>
                          <m:nor/>
                        </m:rPr>
                        <w:rPr>
                          <w:rFonts w:ascii="Cambria Math" w:hAnsi="Cambria Math"/>
                          <w:b/>
                          <w:bCs/>
                        </w:rPr>
                        <m:t>X</m:t>
                      </m:r>
                    </m:e>
                    <m:sub>
                      <m:r>
                        <w:rPr>
                          <w:rFonts w:ascii="Cambria Math" w:hAnsi="Cambria Math"/>
                        </w:rPr>
                        <m:t>i</m:t>
                      </m:r>
                    </m:sub>
                    <m:sup/>
                  </m:sSubSup>
                </m:e>
              </m:d>
            </m:den>
          </m:f>
        </m:oMath>
      </m:oMathPara>
    </w:p>
    <w:p w14:paraId="78AB0947" w14:textId="0457C20C" w:rsidR="00EB56D5" w:rsidRDefault="00B67234" w:rsidP="00EB56D5">
      <w:pPr>
        <w:jc w:val="both"/>
      </w:pPr>
      <w:r>
        <w:rPr>
          <w:rFonts w:eastAsiaTheme="minorEastAsia"/>
        </w:rPr>
        <w:t>S</w:t>
      </w:r>
      <w:r w:rsidR="00EB56D5">
        <w:rPr>
          <w:rFonts w:eastAsiaTheme="minorEastAsia"/>
        </w:rPr>
        <w:t xml:space="preserve">ão os chamados escores de propensão considerados na metodologia, sendo que </w:t>
      </w:r>
      <m:oMath>
        <m:acc>
          <m:accPr>
            <m:ctrlPr>
              <w:rPr>
                <w:rFonts w:ascii="Cambria Math" w:hAnsi="Cambria Math"/>
                <w:i/>
              </w:rPr>
            </m:ctrlPr>
          </m:accPr>
          <m:e>
            <m:r>
              <w:rPr>
                <w:rFonts w:ascii="Cambria Math" w:hAnsi="Cambria Math"/>
              </w:rPr>
              <m:t>α</m:t>
            </m:r>
          </m:e>
        </m:acc>
      </m:oMath>
      <w:r w:rsidR="00EB56D5">
        <w:rPr>
          <w:rFonts w:eastAsiaTheme="minorEastAsia"/>
        </w:rPr>
        <w:t xml:space="preserve"> </w:t>
      </w:r>
      <w:r w:rsidR="00EB56D5" w:rsidRPr="00691F36">
        <w:rPr>
          <w:rFonts w:eastAsiaTheme="minorEastAsia"/>
        </w:rPr>
        <w:t>e</w:t>
      </w:r>
      <w:r w:rsidR="00EB56D5">
        <w:rPr>
          <w:rFonts w:eastAsiaTheme="minorEastAsia"/>
        </w:rPr>
        <w:t xml:space="preserve"> </w:t>
      </w:r>
      <m:oMath>
        <m:acc>
          <m:accPr>
            <m:ctrlPr>
              <w:rPr>
                <w:rFonts w:ascii="Cambria Math" w:hAnsi="Cambria Math"/>
                <w:b/>
                <w:bCs/>
                <w:iCs/>
              </w:rPr>
            </m:ctrlPr>
          </m:accPr>
          <m:e>
            <m:r>
              <m:rPr>
                <m:sty m:val="b"/>
              </m:rPr>
              <w:rPr>
                <w:rFonts w:ascii="Cambria Math" w:hAnsi="Cambria Math"/>
              </w:rPr>
              <m:t>β</m:t>
            </m:r>
          </m:e>
        </m:acc>
      </m:oMath>
      <w:r w:rsidR="00EB56D5">
        <w:rPr>
          <w:rFonts w:eastAsiaTheme="minorEastAsia"/>
          <w:b/>
          <w:bCs/>
          <w:iCs/>
        </w:rPr>
        <w:t xml:space="preserve"> </w:t>
      </w:r>
      <w:r w:rsidR="00EB56D5">
        <w:rPr>
          <w:rFonts w:eastAsiaTheme="minorEastAsia"/>
          <w:iCs/>
        </w:rPr>
        <w:t>são as estimativas dos parâmetros obtidas com base no modelo ajustado.</w:t>
      </w:r>
    </w:p>
    <w:p w14:paraId="69CCF644" w14:textId="0777D7E7" w:rsidR="00EB56D5" w:rsidRDefault="00EB56D5" w:rsidP="00AF5AA5">
      <w:pPr>
        <w:jc w:val="both"/>
        <w:rPr>
          <w:rFonts w:ascii="Calibri" w:eastAsia="Times New Roman" w:hAnsi="Calibri" w:cs="Times New Roman"/>
          <w:color w:val="000000"/>
          <w:sz w:val="18"/>
          <w:szCs w:val="18"/>
          <w:lang w:eastAsia="pt-BR"/>
        </w:rPr>
      </w:pPr>
      <w:r>
        <w:t>O modelo ajustado utiliz</w:t>
      </w:r>
      <w:r w:rsidR="00211441">
        <w:t>a</w:t>
      </w:r>
      <w:r>
        <w:t xml:space="preserve"> como opções de variáveis independentes (</w:t>
      </w:r>
      <m:oMath>
        <m:r>
          <m:rPr>
            <m:nor/>
          </m:rPr>
          <w:rPr>
            <w:rFonts w:ascii="Cambria Math" w:hAnsi="Cambria Math"/>
            <w:b/>
            <w:bCs/>
          </w:rPr>
          <m:t>X</m:t>
        </m:r>
      </m:oMath>
      <w:r>
        <w:t>) apenas informações que est</w:t>
      </w:r>
      <w:r w:rsidR="00211441">
        <w:t>ejam</w:t>
      </w:r>
      <w:r>
        <w:t xml:space="preserve"> presentes em ambas as fontes: TIC Domicílios e Painel TIC. O modelo </w:t>
      </w:r>
      <w:r w:rsidRPr="004F3930">
        <w:t>final</w:t>
      </w:r>
      <w:r>
        <w:t xml:space="preserve"> </w:t>
      </w:r>
      <w:r w:rsidR="00AF5AA5">
        <w:t xml:space="preserve">é </w:t>
      </w:r>
      <w:r w:rsidR="00930406">
        <w:t>apresentado</w:t>
      </w:r>
      <w:r w:rsidR="00AF5AA5">
        <w:t xml:space="preserve"> no </w:t>
      </w:r>
      <w:r w:rsidR="001F5A52">
        <w:t>“</w:t>
      </w:r>
      <w:r w:rsidR="00AF5AA5">
        <w:t xml:space="preserve">Relatório de Coleta de </w:t>
      </w:r>
      <w:r w:rsidR="001F5A52">
        <w:t>D</w:t>
      </w:r>
      <w:r w:rsidR="00AF5AA5">
        <w:t>ados</w:t>
      </w:r>
      <w:r w:rsidR="001F5A52">
        <w:t>”</w:t>
      </w:r>
      <w:r w:rsidR="00AF5AA5">
        <w:t>.</w:t>
      </w:r>
    </w:p>
    <w:p w14:paraId="77108563" w14:textId="77777777" w:rsidR="00EB56D5" w:rsidRPr="001D77A7" w:rsidRDefault="00EB56D5" w:rsidP="00EB56D5">
      <w:pPr>
        <w:spacing w:after="0" w:line="240" w:lineRule="auto"/>
        <w:jc w:val="both"/>
        <w:rPr>
          <w:sz w:val="18"/>
          <w:szCs w:val="18"/>
        </w:rPr>
      </w:pPr>
    </w:p>
    <w:p w14:paraId="4FDA1C60" w14:textId="0A939704" w:rsidR="00EB56D5" w:rsidRPr="004F3930" w:rsidRDefault="00EB56D5" w:rsidP="00EB56D5">
      <w:pPr>
        <w:rPr>
          <w:i/>
          <w:iCs/>
        </w:rPr>
      </w:pPr>
      <w:r>
        <w:rPr>
          <w:i/>
          <w:iCs/>
        </w:rPr>
        <w:t xml:space="preserve">Passo </w:t>
      </w:r>
      <w:r w:rsidRPr="004F3930">
        <w:rPr>
          <w:i/>
          <w:iCs/>
        </w:rPr>
        <w:t xml:space="preserve">III. Estimação dos escores de propensão para os respondentes </w:t>
      </w:r>
      <w:r>
        <w:rPr>
          <w:i/>
          <w:iCs/>
        </w:rPr>
        <w:t>do</w:t>
      </w:r>
      <w:r w:rsidRPr="004F3930">
        <w:rPr>
          <w:i/>
          <w:iCs/>
        </w:rPr>
        <w:t xml:space="preserve"> Painel</w:t>
      </w:r>
    </w:p>
    <w:p w14:paraId="7D7F80FD" w14:textId="7093BDE2" w:rsidR="00EB56D5" w:rsidRDefault="00EB56D5" w:rsidP="00EB56D5">
      <w:pPr>
        <w:jc w:val="both"/>
      </w:pPr>
      <w:r>
        <w:t xml:space="preserve">A partir do modelo ajustado com os dados da </w:t>
      </w:r>
      <w:r w:rsidR="00AF5AA5">
        <w:t xml:space="preserve">última </w:t>
      </w:r>
      <w:r>
        <w:t xml:space="preserve">pesquisa TIC Domicílios, </w:t>
      </w:r>
      <w:r w:rsidR="00AF5AA5">
        <w:t>são</w:t>
      </w:r>
      <w:r>
        <w:t xml:space="preserve"> estimados os escores de propensão para o conjunto de respondentes do </w:t>
      </w:r>
      <w:r w:rsidRPr="004F3930">
        <w:t>Painel TIC</w:t>
      </w:r>
      <w:r w:rsidRPr="0041454A">
        <w:t>.</w:t>
      </w:r>
      <w:r>
        <w:t xml:space="preserve"> Em seguida, </w:t>
      </w:r>
      <w:r w:rsidR="00AF5AA5">
        <w:t>é</w:t>
      </w:r>
      <w:r>
        <w:t xml:space="preserve"> feita a comparação das distribuições dos escores de propensão </w:t>
      </w:r>
      <w:r w:rsidR="00B67234">
        <w:t>d</w:t>
      </w:r>
      <w:r>
        <w:t xml:space="preserve">a amostra da TIC Domicílios com os escores da amostra do Painel </w:t>
      </w:r>
      <w:r w:rsidRPr="0065782E">
        <w:t>TIC</w:t>
      </w:r>
      <w:r>
        <w:t xml:space="preserve"> para os usuários de Internet. Os resultados </w:t>
      </w:r>
      <w:r w:rsidR="00AF5AA5">
        <w:t xml:space="preserve">são apresentados no </w:t>
      </w:r>
      <w:r w:rsidR="00EC4435">
        <w:t>“</w:t>
      </w:r>
      <w:r w:rsidR="00AF5AA5">
        <w:t>Relatório de Coleta de Dados</w:t>
      </w:r>
      <w:r w:rsidR="00EC4435">
        <w:t>”</w:t>
      </w:r>
      <w:r>
        <w:t>.</w:t>
      </w:r>
    </w:p>
    <w:p w14:paraId="7DEEE493" w14:textId="77777777" w:rsidR="00AF5AA5" w:rsidRDefault="00AF5AA5" w:rsidP="00EB56D5">
      <w:pPr>
        <w:jc w:val="both"/>
        <w:rPr>
          <w:i/>
          <w:iCs/>
        </w:rPr>
      </w:pPr>
    </w:p>
    <w:p w14:paraId="42CF8FEA" w14:textId="5778BEDA" w:rsidR="00EB56D5" w:rsidRPr="00AF5AA5" w:rsidRDefault="00EB56D5" w:rsidP="00EB56D5">
      <w:pPr>
        <w:jc w:val="both"/>
        <w:rPr>
          <w:i/>
          <w:iCs/>
        </w:rPr>
      </w:pPr>
      <w:r w:rsidRPr="00AF5AA5">
        <w:rPr>
          <w:i/>
          <w:iCs/>
        </w:rPr>
        <w:t>Passo IV. Determinação de população de suporte comum da TIC Domicílios</w:t>
      </w:r>
      <w:r w:rsidR="00AF5AA5">
        <w:rPr>
          <w:i/>
          <w:iCs/>
        </w:rPr>
        <w:t xml:space="preserve"> </w:t>
      </w:r>
      <w:r w:rsidRPr="00AF5AA5">
        <w:rPr>
          <w:i/>
          <w:iCs/>
        </w:rPr>
        <w:t>e</w:t>
      </w:r>
      <w:r w:rsidR="00B67234">
        <w:rPr>
          <w:i/>
          <w:iCs/>
        </w:rPr>
        <w:t xml:space="preserve"> do</w:t>
      </w:r>
      <w:r w:rsidRPr="00AF5AA5">
        <w:rPr>
          <w:i/>
          <w:iCs/>
        </w:rPr>
        <w:t xml:space="preserve"> Painel TIC </w:t>
      </w:r>
    </w:p>
    <w:p w14:paraId="2FD0DA7A" w14:textId="3B662597" w:rsidR="00EB56D5" w:rsidRDefault="00AF5AA5" w:rsidP="00EB56D5">
      <w:pPr>
        <w:jc w:val="both"/>
      </w:pPr>
      <w:r>
        <w:t>Se</w:t>
      </w:r>
      <w:r w:rsidR="00EB56D5">
        <w:t xml:space="preserve"> as distribuições dos escores obtidos em ambas as pesquisas </w:t>
      </w:r>
      <w:r>
        <w:t>forem</w:t>
      </w:r>
      <w:r w:rsidR="00EB56D5">
        <w:t xml:space="preserve"> diferentes, busca</w:t>
      </w:r>
      <w:r>
        <w:t>-se</w:t>
      </w:r>
      <w:r w:rsidR="00EB56D5">
        <w:t xml:space="preserve"> identificar um recorte da amostra de usuários de Internet da TIC Domicílios que </w:t>
      </w:r>
      <w:r>
        <w:t>seja</w:t>
      </w:r>
      <w:r w:rsidR="00EB56D5">
        <w:t xml:space="preserve"> mais parecido com o conjunto de respondentes do Painel </w:t>
      </w:r>
      <w:r w:rsidR="00EB56D5" w:rsidRPr="0065782E">
        <w:t>TIC</w:t>
      </w:r>
      <w:r w:rsidR="00EB56D5">
        <w:t>. A escolha deste recorte lev</w:t>
      </w:r>
      <w:r>
        <w:t>a</w:t>
      </w:r>
      <w:r w:rsidR="00EB56D5">
        <w:t xml:space="preserve"> em conta a observação das distribuições dos escores e a variabilidade em pesos que </w:t>
      </w:r>
      <w:r w:rsidR="00CB7A8A">
        <w:t xml:space="preserve">são </w:t>
      </w:r>
      <w:r w:rsidR="00EB56D5">
        <w:t xml:space="preserve">atribuídos aos respondentes do painel, </w:t>
      </w:r>
      <w:r w:rsidR="009B3033">
        <w:t>para um conjunto de possíveis recortes de escores de propensão a ser usuário de Internet</w:t>
      </w:r>
      <w:r w:rsidR="00EB56D5">
        <w:t xml:space="preserve">. Essa avaliação </w:t>
      </w:r>
      <w:r w:rsidR="009B3033">
        <w:t>é</w:t>
      </w:r>
      <w:r w:rsidR="00EB56D5">
        <w:t xml:space="preserve"> feita estimando-se os pesos dos respondentes </w:t>
      </w:r>
      <w:r w:rsidR="009B3033">
        <w:t xml:space="preserve">do Painel TIC </w:t>
      </w:r>
      <w:r w:rsidR="00EB56D5">
        <w:t>segundo situações alternativas:</w:t>
      </w:r>
    </w:p>
    <w:p w14:paraId="7A5A4552" w14:textId="4E3E9E5E" w:rsidR="00EB56D5" w:rsidRDefault="00B67234" w:rsidP="00EB56D5">
      <w:pPr>
        <w:pStyle w:val="PargrafodaLista"/>
        <w:numPr>
          <w:ilvl w:val="0"/>
          <w:numId w:val="8"/>
        </w:numPr>
        <w:spacing w:after="160" w:line="259" w:lineRule="auto"/>
        <w:jc w:val="both"/>
      </w:pPr>
      <w:r>
        <w:t>s</w:t>
      </w:r>
      <w:r w:rsidR="00EB56D5">
        <w:t>eleção de todos os respondentes de ambas as pesquisas, sem recorte;</w:t>
      </w:r>
      <w:r w:rsidR="009B3033">
        <w:t xml:space="preserve"> e</w:t>
      </w:r>
    </w:p>
    <w:p w14:paraId="7422542C" w14:textId="534E4893" w:rsidR="00EB56D5" w:rsidRDefault="00B67234" w:rsidP="00EB56D5">
      <w:pPr>
        <w:pStyle w:val="PargrafodaLista"/>
        <w:numPr>
          <w:ilvl w:val="0"/>
          <w:numId w:val="8"/>
        </w:numPr>
        <w:spacing w:after="160" w:line="259" w:lineRule="auto"/>
        <w:jc w:val="both"/>
      </w:pPr>
      <w:r>
        <w:t>s</w:t>
      </w:r>
      <w:r w:rsidR="00EB56D5">
        <w:t xml:space="preserve">eleção dos respondentes de ambas as pesquisas que têm escores de propensão maior ou igual a </w:t>
      </w:r>
      <w:r w:rsidR="009B3033">
        <w:t>uma fração específica.</w:t>
      </w:r>
    </w:p>
    <w:p w14:paraId="77A3C34D" w14:textId="7D4313BA" w:rsidR="009B3033" w:rsidRDefault="009B3033" w:rsidP="00EB56D5">
      <w:pPr>
        <w:jc w:val="both"/>
      </w:pPr>
      <w:r>
        <w:t xml:space="preserve">A fração é escolhida de forma a utilizar “pedaços” do conjunto de respondentes de ambas as pesquisas que sejam comparáveis, o que determina uma população suporte comum </w:t>
      </w:r>
      <w:r w:rsidR="00B67234">
        <w:t>para elas</w:t>
      </w:r>
      <w:r>
        <w:t>.</w:t>
      </w:r>
    </w:p>
    <w:p w14:paraId="4AAEF777" w14:textId="3817CA84" w:rsidR="00EB56D5" w:rsidRDefault="00EB56D5" w:rsidP="00EB56D5">
      <w:pPr>
        <w:jc w:val="both"/>
      </w:pPr>
      <w:r>
        <w:t xml:space="preserve">Para cada </w:t>
      </w:r>
      <w:r w:rsidR="009B3033">
        <w:t xml:space="preserve">opção de fração </w:t>
      </w:r>
      <w:r w:rsidR="00B67234">
        <w:t>(</w:t>
      </w:r>
      <w:r w:rsidR="009B3033">
        <w:t>determinadora de população suporte comum</w:t>
      </w:r>
      <w:r w:rsidR="00B67234">
        <w:t>)</w:t>
      </w:r>
      <w:r>
        <w:t xml:space="preserve">, </w:t>
      </w:r>
      <w:r w:rsidR="009B3033">
        <w:t>são</w:t>
      </w:r>
      <w:r>
        <w:t xml:space="preserve"> estimados </w:t>
      </w:r>
      <w:r>
        <w:rPr>
          <w:noProof/>
        </w:rPr>
        <w:t>pseudopesos</w:t>
      </w:r>
      <w:r>
        <w:t xml:space="preserve"> para os respondentes do Painel </w:t>
      </w:r>
      <w:r w:rsidRPr="0065782E">
        <w:t>TIC</w:t>
      </w:r>
      <w:r w:rsidR="009B3033">
        <w:rPr>
          <w:rStyle w:val="Refdenotaderodap"/>
        </w:rPr>
        <w:footnoteReference w:id="3"/>
      </w:r>
      <w:r w:rsidR="00B67234">
        <w:t>, e o</w:t>
      </w:r>
      <w:r>
        <w:t xml:space="preserve">s recortes considerados </w:t>
      </w:r>
      <w:r w:rsidR="009B3033">
        <w:t>são avaliados segundo a</w:t>
      </w:r>
      <w:r>
        <w:t xml:space="preserve"> variabilidade nos pesos. Opt</w:t>
      </w:r>
      <w:r w:rsidR="009B3033">
        <w:t>a</w:t>
      </w:r>
      <w:r>
        <w:t xml:space="preserve">-se pelo recorte </w:t>
      </w:r>
      <w:r w:rsidR="009B3033">
        <w:t xml:space="preserve">em </w:t>
      </w:r>
      <w:r>
        <w:t>que os pesos resultantes têm a menor amplitude na distribuição dos valores absolutos</w:t>
      </w:r>
      <w:r w:rsidR="00B67234">
        <w:t xml:space="preserve"> e em que</w:t>
      </w:r>
      <w:r>
        <w:t xml:space="preserve"> os fatores de calibração (razão entre os </w:t>
      </w:r>
      <w:r w:rsidRPr="004F57FE">
        <w:rPr>
          <w:rFonts w:ascii="Calibri" w:eastAsia="Times New Roman" w:hAnsi="Calibri" w:cs="Times New Roman"/>
          <w:color w:val="000000"/>
          <w:lang w:eastAsia="pt-BR"/>
        </w:rPr>
        <w:t>pesos calibrados</w:t>
      </w:r>
      <w:r>
        <w:rPr>
          <w:rFonts w:ascii="Calibri" w:eastAsia="Times New Roman" w:hAnsi="Calibri" w:cs="Times New Roman"/>
          <w:color w:val="000000"/>
          <w:lang w:eastAsia="pt-BR"/>
        </w:rPr>
        <w:t xml:space="preserve"> e os </w:t>
      </w:r>
      <w:r w:rsidRPr="004F57FE">
        <w:rPr>
          <w:rFonts w:ascii="Calibri" w:eastAsia="Times New Roman" w:hAnsi="Calibri" w:cs="Times New Roman"/>
          <w:color w:val="000000"/>
          <w:lang w:eastAsia="pt-BR"/>
        </w:rPr>
        <w:t>pesos básicos)</w:t>
      </w:r>
      <w:r>
        <w:rPr>
          <w:rFonts w:ascii="Calibri" w:eastAsia="Times New Roman" w:hAnsi="Calibri" w:cs="Times New Roman"/>
          <w:color w:val="000000"/>
          <w:lang w:eastAsia="pt-BR"/>
        </w:rPr>
        <w:t xml:space="preserve"> </w:t>
      </w:r>
      <w:r w:rsidR="00B67234">
        <w:rPr>
          <w:rFonts w:ascii="Calibri" w:eastAsia="Times New Roman" w:hAnsi="Calibri" w:cs="Times New Roman"/>
          <w:color w:val="000000"/>
          <w:lang w:eastAsia="pt-BR"/>
        </w:rPr>
        <w:t xml:space="preserve">têm </w:t>
      </w:r>
      <w:r>
        <w:t xml:space="preserve">média mais próxima a 1. Isso é </w:t>
      </w:r>
      <w:r>
        <w:lastRenderedPageBreak/>
        <w:t>desejável</w:t>
      </w:r>
      <w:r w:rsidR="00B67234">
        <w:t xml:space="preserve"> pois </w:t>
      </w:r>
      <w:r>
        <w:t xml:space="preserve">nessa situação os pesos calibrados </w:t>
      </w:r>
      <w:r w:rsidR="00B67234">
        <w:t xml:space="preserve">ficam </w:t>
      </w:r>
      <w:r>
        <w:t xml:space="preserve">mais próximos dos pesos inicialmente estabelecidos pela metodologia de estimação de </w:t>
      </w:r>
      <w:r>
        <w:rPr>
          <w:noProof/>
        </w:rPr>
        <w:t>pseudopesos</w:t>
      </w:r>
      <w:r>
        <w:t xml:space="preserve">. </w:t>
      </w:r>
      <w:r w:rsidR="009B3033">
        <w:t xml:space="preserve">Os resultados dessa etapa são apresentados no </w:t>
      </w:r>
      <w:r w:rsidR="002D11C7">
        <w:t>“</w:t>
      </w:r>
      <w:r w:rsidR="009B3033">
        <w:t>Relatório de Coleta de Dados</w:t>
      </w:r>
      <w:r w:rsidR="002D11C7">
        <w:t>”</w:t>
      </w:r>
      <w:r w:rsidR="009B3033">
        <w:t>.</w:t>
      </w:r>
    </w:p>
    <w:p w14:paraId="324A38EB" w14:textId="237222B2" w:rsidR="00EB56D5" w:rsidRDefault="00EB56D5" w:rsidP="00EB56D5">
      <w:pPr>
        <w:spacing w:after="0" w:line="240" w:lineRule="auto"/>
        <w:jc w:val="both"/>
        <w:rPr>
          <w:sz w:val="18"/>
          <w:szCs w:val="18"/>
        </w:rPr>
      </w:pPr>
    </w:p>
    <w:p w14:paraId="00A94776" w14:textId="1D8D8200" w:rsidR="00EB56D5" w:rsidRPr="00412577" w:rsidRDefault="009A2966" w:rsidP="00EB56D5">
      <w:pPr>
        <w:keepNext/>
        <w:jc w:val="both"/>
        <w:rPr>
          <w:b/>
          <w:bCs/>
          <w:sz w:val="20"/>
          <w:szCs w:val="20"/>
        </w:rPr>
      </w:pPr>
      <w:r w:rsidRPr="00412577">
        <w:rPr>
          <w:b/>
          <w:bCs/>
          <w:sz w:val="20"/>
          <w:szCs w:val="20"/>
        </w:rPr>
        <w:t>&lt;4&gt;</w:t>
      </w:r>
      <w:r w:rsidR="00EB56D5" w:rsidRPr="00412577">
        <w:rPr>
          <w:b/>
          <w:bCs/>
          <w:sz w:val="20"/>
          <w:szCs w:val="20"/>
        </w:rPr>
        <w:t>E</w:t>
      </w:r>
      <w:r w:rsidR="00D222A0" w:rsidRPr="00412577">
        <w:rPr>
          <w:b/>
          <w:bCs/>
          <w:sz w:val="20"/>
          <w:szCs w:val="20"/>
        </w:rPr>
        <w:t>tapa</w:t>
      </w:r>
      <w:r w:rsidR="00EB56D5" w:rsidRPr="00412577">
        <w:rPr>
          <w:b/>
          <w:bCs/>
          <w:sz w:val="20"/>
          <w:szCs w:val="20"/>
        </w:rPr>
        <w:t xml:space="preserve"> 2</w:t>
      </w:r>
      <w:r w:rsidR="00EB56D5" w:rsidRPr="00412577">
        <w:rPr>
          <w:b/>
          <w:bCs/>
          <w:i/>
          <w:iCs/>
          <w:sz w:val="20"/>
          <w:szCs w:val="20"/>
        </w:rPr>
        <w:t xml:space="preserve"> - </w:t>
      </w:r>
      <w:r w:rsidR="00EB56D5" w:rsidRPr="00412577">
        <w:rPr>
          <w:b/>
          <w:bCs/>
          <w:sz w:val="20"/>
          <w:szCs w:val="20"/>
        </w:rPr>
        <w:t xml:space="preserve">Estimação de </w:t>
      </w:r>
      <w:r w:rsidR="00EB56D5" w:rsidRPr="00412577">
        <w:rPr>
          <w:b/>
          <w:bCs/>
          <w:noProof/>
          <w:sz w:val="20"/>
          <w:szCs w:val="20"/>
        </w:rPr>
        <w:t>pseudoprobabilidades</w:t>
      </w:r>
      <w:r w:rsidR="00EB56D5" w:rsidRPr="00412577">
        <w:rPr>
          <w:b/>
          <w:bCs/>
          <w:sz w:val="20"/>
          <w:szCs w:val="20"/>
        </w:rPr>
        <w:t xml:space="preserve"> de inclusão para determinação de pesos dos respondentes do Painel TIC</w:t>
      </w:r>
    </w:p>
    <w:p w14:paraId="7927289F" w14:textId="58C0F7BD" w:rsidR="00EB56D5" w:rsidRDefault="00EB56D5" w:rsidP="00EB56D5">
      <w:pPr>
        <w:jc w:val="both"/>
      </w:pPr>
      <w:r>
        <w:t xml:space="preserve">O processo de estimação de </w:t>
      </w:r>
      <w:r>
        <w:rPr>
          <w:noProof/>
        </w:rPr>
        <w:t>pseudopesos</w:t>
      </w:r>
      <w:r>
        <w:t xml:space="preserve"> consiste na estimação de </w:t>
      </w:r>
      <w:r>
        <w:rPr>
          <w:noProof/>
        </w:rPr>
        <w:t>pseudoprobabilidades</w:t>
      </w:r>
      <w:r>
        <w:t xml:space="preserve"> de inclusão dos respondentes do Painel </w:t>
      </w:r>
      <w:r w:rsidRPr="0065782E">
        <w:t>TIC</w:t>
      </w:r>
      <w:r>
        <w:t xml:space="preserve"> (amostra não probabilística) na </w:t>
      </w:r>
      <w:r w:rsidR="005136A5">
        <w:t xml:space="preserve">última </w:t>
      </w:r>
      <w:r>
        <w:t xml:space="preserve">pesquisa TIC Domicílios (amostra probabilística), </w:t>
      </w:r>
      <w:r w:rsidR="00B67234">
        <w:t>b</w:t>
      </w:r>
      <w:r>
        <w:t>e</w:t>
      </w:r>
      <w:r w:rsidR="00B67234">
        <w:t>m como</w:t>
      </w:r>
      <w:r>
        <w:t xml:space="preserve"> </w:t>
      </w:r>
      <w:r w:rsidR="009A2966">
        <w:t xml:space="preserve">no uso de </w:t>
      </w:r>
      <w:r>
        <w:t>seus recíprocos como pesos, tal como em uma pesquisa por amostragem probabilística tradicional. Com isso, estima-se a probabilidade de um indivíduo ser selecionado e responder à pesquisa TIC Domicílios com base em variáveis independentes (</w:t>
      </w:r>
      <m:oMath>
        <m:r>
          <m:rPr>
            <m:nor/>
          </m:rPr>
          <w:rPr>
            <w:rFonts w:ascii="Cambria Math" w:hAnsi="Cambria Math"/>
            <w:b/>
            <w:bCs/>
          </w:rPr>
          <m:t>X</m:t>
        </m:r>
      </m:oMath>
      <w:r>
        <w:t>) relacionadas ao perfil dos entrevistados, considerando que, dadas essas variáveis (</w:t>
      </w:r>
      <m:oMath>
        <m:r>
          <m:rPr>
            <m:nor/>
          </m:rPr>
          <w:rPr>
            <w:rFonts w:ascii="Cambria Math" w:hAnsi="Cambria Math"/>
            <w:b/>
            <w:bCs/>
          </w:rPr>
          <m:t>X</m:t>
        </m:r>
      </m:oMath>
      <w:r>
        <w:t>), as probabilidades de inclusão são independentes das variáveis de interesse da pesquisa.</w:t>
      </w:r>
    </w:p>
    <w:p w14:paraId="6E4E42C9" w14:textId="56CE889C" w:rsidR="00EB56D5" w:rsidRDefault="00EB56D5" w:rsidP="00EB56D5">
      <w:pPr>
        <w:jc w:val="both"/>
      </w:pPr>
      <w:r>
        <w:t xml:space="preserve">Para estimar as </w:t>
      </w:r>
      <w:r>
        <w:rPr>
          <w:noProof/>
        </w:rPr>
        <w:t>pseudoprobabilidades</w:t>
      </w:r>
      <w:r>
        <w:t>, os dados de ambas as amostras (probabilística e não probabilística) são empilhados em uma única base de dados, e as probabilidades de inclusão são estimadas por meio de um modelo de regressão logística que leva em consideração o plano amostral da pesquisa probabilística de referência.</w:t>
      </w:r>
    </w:p>
    <w:p w14:paraId="4B651B78" w14:textId="0856BEB0" w:rsidR="00EB56D5" w:rsidRDefault="00EB56D5" w:rsidP="00EB56D5">
      <w:pPr>
        <w:jc w:val="both"/>
      </w:pPr>
      <w:r>
        <w:t>Para esse estudo</w:t>
      </w:r>
      <w:r w:rsidR="001B0240">
        <w:t>,</w:t>
      </w:r>
      <w:r>
        <w:t xml:space="preserve"> </w:t>
      </w:r>
      <w:r w:rsidR="005136A5">
        <w:t>são</w:t>
      </w:r>
      <w:r>
        <w:t xml:space="preserve"> </w:t>
      </w:r>
      <w:r w:rsidR="005136A5">
        <w:t>consideradas</w:t>
      </w:r>
      <w:r>
        <w:t xml:space="preserve"> diferentes possibilidades conforme os recortes de população estabelecidos na </w:t>
      </w:r>
      <w:r w:rsidRPr="00E01464">
        <w:t>seção anterior. Tais recortes visam identificar a população suporte comum das duas pesquisas avaliando os pesos obtido</w:t>
      </w:r>
      <w:r w:rsidRPr="004F3930">
        <w:t>s</w:t>
      </w:r>
      <w:r>
        <w:t xml:space="preserve">, como sugere </w:t>
      </w:r>
      <w:r w:rsidRPr="000E6709">
        <w:rPr>
          <w:noProof/>
        </w:rPr>
        <w:t>Valliant</w:t>
      </w:r>
      <w:r w:rsidRPr="000E6709">
        <w:t xml:space="preserve"> (2019)</w:t>
      </w:r>
      <w:r w:rsidRPr="004F3930">
        <w:t xml:space="preserve">. </w:t>
      </w:r>
    </w:p>
    <w:p w14:paraId="00DBAD94" w14:textId="4C5B9D57" w:rsidR="00EB56D5" w:rsidRDefault="00EB56D5" w:rsidP="00EB56D5">
      <w:pPr>
        <w:jc w:val="both"/>
      </w:pPr>
      <w:r>
        <w:t xml:space="preserve">O processo de estimação de </w:t>
      </w:r>
      <w:r>
        <w:rPr>
          <w:noProof/>
        </w:rPr>
        <w:t>pseudoprobabilidades</w:t>
      </w:r>
      <w:r>
        <w:t xml:space="preserve"> empreg</w:t>
      </w:r>
      <w:r w:rsidR="005136A5">
        <w:t>a</w:t>
      </w:r>
      <w:r>
        <w:t xml:space="preserve"> os seguintes passos:</w:t>
      </w:r>
    </w:p>
    <w:p w14:paraId="069EB839" w14:textId="02DE1AEA" w:rsidR="00EB56D5" w:rsidRDefault="00EB56D5" w:rsidP="00EB56D5">
      <w:pPr>
        <w:pStyle w:val="PargrafodaLista"/>
        <w:numPr>
          <w:ilvl w:val="0"/>
          <w:numId w:val="9"/>
        </w:numPr>
        <w:spacing w:after="160" w:line="259" w:lineRule="auto"/>
        <w:jc w:val="both"/>
      </w:pPr>
      <w:r>
        <w:t>União dos casos em uma mesma base de dados (empilhamento), garantindo a presença de variáveis independentes comuns (</w:t>
      </w:r>
      <m:oMath>
        <m:r>
          <m:rPr>
            <m:nor/>
          </m:rPr>
          <w:rPr>
            <w:rFonts w:ascii="Cambria Math" w:hAnsi="Cambria Math"/>
            <w:b/>
            <w:bCs/>
          </w:rPr>
          <m:t>X</m:t>
        </m:r>
      </m:oMath>
      <w:r>
        <w:t xml:space="preserve">), coletadas segundo os mesmos critérios e conceitos. Nesta base, foi criada uma variável indicadora </w:t>
      </w:r>
      <w:r w:rsidRPr="00553960">
        <w:rPr>
          <w:b/>
        </w:rPr>
        <w:t>Z</w:t>
      </w:r>
      <w:r>
        <w:t>, que assume o valor 1 para respondentes do Painel TIC (amostra não probabilística) e o valor 0 para respondentes da TIC Domicílios (amostra probabilística)</w:t>
      </w:r>
      <w:r w:rsidR="001B0240">
        <w:t>.</w:t>
      </w:r>
    </w:p>
    <w:p w14:paraId="120E11B1" w14:textId="1DBB4698" w:rsidR="00EB56D5" w:rsidRDefault="00EB56D5" w:rsidP="00EB56D5">
      <w:pPr>
        <w:pStyle w:val="PargrafodaLista"/>
        <w:numPr>
          <w:ilvl w:val="0"/>
          <w:numId w:val="9"/>
        </w:numPr>
        <w:spacing w:after="160" w:line="259" w:lineRule="auto"/>
        <w:jc w:val="both"/>
      </w:pPr>
      <w:r>
        <w:t>Criação de uma coluna de pesos neste arquivo, a qual considera os pesos provenientes da amostra probabilística (para os seus casos) e peso igual a 1 para os casos da amostra não probabilística</w:t>
      </w:r>
      <w:r w:rsidR="001B0240">
        <w:t>.</w:t>
      </w:r>
    </w:p>
    <w:p w14:paraId="40C96E01" w14:textId="2468191F" w:rsidR="00EB56D5" w:rsidRDefault="00EB56D5" w:rsidP="00EB56D5">
      <w:pPr>
        <w:pStyle w:val="PargrafodaLista"/>
        <w:numPr>
          <w:ilvl w:val="0"/>
          <w:numId w:val="9"/>
        </w:numPr>
        <w:spacing w:after="160" w:line="259" w:lineRule="auto"/>
        <w:jc w:val="both"/>
      </w:pPr>
      <w:r>
        <w:t xml:space="preserve">Ajuste de um modelo de regressão logística tendo a variável </w:t>
      </w:r>
      <w:r w:rsidRPr="00553960">
        <w:rPr>
          <w:b/>
        </w:rPr>
        <w:t>Z</w:t>
      </w:r>
      <w:r>
        <w:t xml:space="preserve"> como resposta, levando em consideração o desenho amostral da pesquisa</w:t>
      </w:r>
      <w:r w:rsidR="0083744F">
        <w:t xml:space="preserve"> TIC Domicílios</w:t>
      </w:r>
      <w:r>
        <w:t>, para estimar as probabilidades de inclusão dos respondentes do Painel TIC na amostra probabilística.</w:t>
      </w:r>
    </w:p>
    <w:p w14:paraId="0A8DE780" w14:textId="556796FA" w:rsidR="00EB56D5" w:rsidRDefault="00EB56D5" w:rsidP="00EB56D5">
      <w:pPr>
        <w:jc w:val="both"/>
      </w:pPr>
      <w:r>
        <w:t xml:space="preserve">No ajuste do modelo, a amostra do Painel </w:t>
      </w:r>
      <w:r w:rsidRPr="0065782E">
        <w:t>TIC</w:t>
      </w:r>
      <w:r>
        <w:t xml:space="preserve"> </w:t>
      </w:r>
      <w:r w:rsidR="0056534F">
        <w:t>é</w:t>
      </w:r>
      <w:r>
        <w:t xml:space="preserve"> considerada como um estrato à parte, e cada respondente dessa amostra </w:t>
      </w:r>
      <w:r w:rsidR="0056534F">
        <w:t>é</w:t>
      </w:r>
      <w:r>
        <w:t xml:space="preserve"> considerado como sendo uma unidade primária de amostragem (UPA) distinta. Esse procedimento </w:t>
      </w:r>
      <w:r w:rsidR="0056534F">
        <w:t>é</w:t>
      </w:r>
      <w:r>
        <w:t xml:space="preserve"> necessário na declaração das variáveis de estrutura do plano amostral para o arquivo de dados empilhados das duas pesquisas.</w:t>
      </w:r>
    </w:p>
    <w:p w14:paraId="00F6DBF7" w14:textId="1307F90D" w:rsidR="00EB56D5" w:rsidRDefault="00EB56D5" w:rsidP="00EB56D5">
      <w:pPr>
        <w:jc w:val="both"/>
      </w:pPr>
      <w:r>
        <w:t>O modelo mais parcimonioso considerando as variáveis independentes (</w:t>
      </w:r>
      <m:oMath>
        <m:r>
          <m:rPr>
            <m:nor/>
          </m:rPr>
          <w:rPr>
            <w:rFonts w:ascii="Cambria Math" w:hAnsi="Cambria Math"/>
            <w:b/>
            <w:bCs/>
          </w:rPr>
          <m:t>X</m:t>
        </m:r>
      </m:oMath>
      <w:r>
        <w:t xml:space="preserve">) disponíveis e comuns às duas bases de dados </w:t>
      </w:r>
      <w:r w:rsidR="0056534F">
        <w:t xml:space="preserve">é apresentado no </w:t>
      </w:r>
      <w:r w:rsidR="00AE4700">
        <w:t>“</w:t>
      </w:r>
      <w:r w:rsidR="0056534F">
        <w:t>Relatório de Coleta de Dados</w:t>
      </w:r>
      <w:r w:rsidR="00AE4700">
        <w:t>”</w:t>
      </w:r>
      <w:r w:rsidR="0056534F">
        <w:t xml:space="preserve"> da pesquisa Painel TIC.</w:t>
      </w:r>
      <w:r>
        <w:t xml:space="preserve"> A partir desse modelo, </w:t>
      </w:r>
      <w:r w:rsidR="0056534F">
        <w:t>são</w:t>
      </w:r>
      <w:r>
        <w:t xml:space="preserve"> </w:t>
      </w:r>
      <w:r>
        <w:lastRenderedPageBreak/>
        <w:t xml:space="preserve">estimadas as </w:t>
      </w:r>
      <w:r>
        <w:rPr>
          <w:noProof/>
        </w:rPr>
        <w:t>pseudoprobabilidades</w:t>
      </w:r>
      <w:r>
        <w:t xml:space="preserve"> de inclusão dos respondentes do Painel </w:t>
      </w:r>
      <w:r w:rsidRPr="0065782E">
        <w:t xml:space="preserve">TIC </w:t>
      </w:r>
      <w:r>
        <w:t xml:space="preserve">na </w:t>
      </w:r>
      <w:r w:rsidR="0056534F">
        <w:t xml:space="preserve">última </w:t>
      </w:r>
      <w:r>
        <w:t xml:space="preserve">pesquisa TIC Domicílios. Os recíprocos dessas </w:t>
      </w:r>
      <w:r>
        <w:rPr>
          <w:noProof/>
        </w:rPr>
        <w:t>pseudoprobabilidades</w:t>
      </w:r>
      <w:r>
        <w:t xml:space="preserve"> são os pesos iniciais alocados para cada respondente do Painel </w:t>
      </w:r>
      <w:r w:rsidRPr="0065782E">
        <w:t>TIC</w:t>
      </w:r>
      <w:r>
        <w:t>.</w:t>
      </w:r>
    </w:p>
    <w:p w14:paraId="19614AA1" w14:textId="0E0393BE" w:rsidR="00EB56D5" w:rsidRPr="00544704" w:rsidRDefault="00EB56D5" w:rsidP="00EB56D5">
      <w:pPr>
        <w:jc w:val="both"/>
      </w:pPr>
      <w:r>
        <w:t xml:space="preserve">Esses pesos iniciais </w:t>
      </w:r>
      <w:r w:rsidR="0056534F">
        <w:t>são</w:t>
      </w:r>
      <w:r>
        <w:t xml:space="preserve"> calibrados para totais marginais estimados das variáveis</w:t>
      </w:r>
      <w:r w:rsidRPr="00627819">
        <w:t xml:space="preserve"> </w:t>
      </w:r>
      <w:r w:rsidR="0056534F">
        <w:t>da pesquisa TIC Domicílios</w:t>
      </w:r>
      <w:r w:rsidRPr="00627819">
        <w:t>.</w:t>
      </w:r>
      <w:r>
        <w:t xml:space="preserve"> Os pesos assim calibrados </w:t>
      </w:r>
      <w:r w:rsidR="0056534F">
        <w:t>são</w:t>
      </w:r>
      <w:r>
        <w:t xml:space="preserve"> considerados para a estimação de todos os indicadores de resultados de interesse e das medidas de precisão associadas.</w:t>
      </w:r>
    </w:p>
    <w:p w14:paraId="0E675669" w14:textId="6FA0A9DB" w:rsidR="0056534F" w:rsidRDefault="0056534F">
      <w:pPr>
        <w:rPr>
          <w:b/>
          <w:bCs/>
        </w:rPr>
      </w:pPr>
    </w:p>
    <w:p w14:paraId="68CF4089" w14:textId="2E23FFEA" w:rsidR="00EB56D5" w:rsidRPr="006B5E16" w:rsidRDefault="00AE4700" w:rsidP="00EB56D5">
      <w:pPr>
        <w:jc w:val="both"/>
        <w:rPr>
          <w:b/>
          <w:bCs/>
        </w:rPr>
      </w:pPr>
      <w:r>
        <w:rPr>
          <w:b/>
          <w:bCs/>
        </w:rPr>
        <w:t>&lt;3&gt;</w:t>
      </w:r>
      <w:r w:rsidR="006B5E16">
        <w:rPr>
          <w:b/>
          <w:bCs/>
        </w:rPr>
        <w:t>E</w:t>
      </w:r>
      <w:r>
        <w:rPr>
          <w:b/>
          <w:bCs/>
        </w:rPr>
        <w:t>stimação de variância</w:t>
      </w:r>
    </w:p>
    <w:p w14:paraId="71EBBAB5" w14:textId="265ED4F0" w:rsidR="00EB56D5" w:rsidRDefault="00EB56D5" w:rsidP="00EB56D5">
      <w:pPr>
        <w:jc w:val="both"/>
      </w:pPr>
      <w:r>
        <w:t xml:space="preserve">O processo de estimação atribui a cada respondente do Painel </w:t>
      </w:r>
      <w:r w:rsidRPr="0065782E">
        <w:t>TIC</w:t>
      </w:r>
      <w:r w:rsidR="0056534F">
        <w:t xml:space="preserve"> </w:t>
      </w:r>
      <w:r>
        <w:t xml:space="preserve">um peso que o trata como um participante de pesquisa com plano amostral igual ao da </w:t>
      </w:r>
      <w:r w:rsidR="0056534F">
        <w:t xml:space="preserve">última </w:t>
      </w:r>
      <w:r>
        <w:t xml:space="preserve">pesquisa TIC Domicílios, mas com tamanho total da amostra menor. Dessa forma, é possível estimar variâncias e margens de erro. Segundo </w:t>
      </w:r>
      <w:r>
        <w:rPr>
          <w:noProof/>
        </w:rPr>
        <w:t>Valliant</w:t>
      </w:r>
      <w:r>
        <w:t xml:space="preserve"> (2019), são duas as possibilidades para a estimação de variância: estimação considerando a amostra como aleatória simples com reposição ou estimação com base em método de replicação.</w:t>
      </w:r>
    </w:p>
    <w:p w14:paraId="7B66A404" w14:textId="644BABF3" w:rsidR="00EB56D5" w:rsidRDefault="00EB56D5" w:rsidP="00EB56D5">
      <w:pPr>
        <w:jc w:val="both"/>
      </w:pPr>
      <w:r>
        <w:t xml:space="preserve">O segundo método (estimação com base em método de replicação) tem a vantagem de considerar a estimação do modelo para </w:t>
      </w:r>
      <w:r w:rsidR="00C130E0">
        <w:t>e</w:t>
      </w:r>
      <w:r>
        <w:t xml:space="preserve"> das </w:t>
      </w:r>
      <w:r>
        <w:rPr>
          <w:noProof/>
        </w:rPr>
        <w:t>pseudoprobabilidades</w:t>
      </w:r>
      <w:r>
        <w:t xml:space="preserve"> de inclusão </w:t>
      </w:r>
      <w:r w:rsidR="00AE4700">
        <w:t xml:space="preserve">de </w:t>
      </w:r>
      <w:r>
        <w:t>subamostras retiradas da amostra principal. Isso permite incluir na estimação da variância a variabilidade associada à estimação desse modelo</w:t>
      </w:r>
      <w:r w:rsidR="00AE4700">
        <w:t xml:space="preserve"> e, p</w:t>
      </w:r>
      <w:r>
        <w:t>or es</w:t>
      </w:r>
      <w:r w:rsidR="00AE4700">
        <w:t>s</w:t>
      </w:r>
      <w:r>
        <w:t>a razão</w:t>
      </w:r>
      <w:r w:rsidR="00AE4700">
        <w:t>,</w:t>
      </w:r>
      <w:r>
        <w:t xml:space="preserve"> esse foi o método utilizado. O procedimento seguiu os seguintes passos:</w:t>
      </w:r>
    </w:p>
    <w:p w14:paraId="2BAF2DCF" w14:textId="46106870" w:rsidR="00EB56D5" w:rsidRDefault="00EB56D5" w:rsidP="00EB56D5">
      <w:pPr>
        <w:pStyle w:val="PargrafodaLista"/>
        <w:numPr>
          <w:ilvl w:val="0"/>
          <w:numId w:val="10"/>
        </w:numPr>
        <w:spacing w:after="160" w:line="259" w:lineRule="auto"/>
        <w:jc w:val="both"/>
      </w:pPr>
      <w:r>
        <w:t xml:space="preserve">A partir da base comum (empilhada) utilizada para a estimação do modelo de </w:t>
      </w:r>
      <w:r>
        <w:rPr>
          <w:noProof/>
        </w:rPr>
        <w:t>pseudoprobabilidades</w:t>
      </w:r>
      <w:r>
        <w:t xml:space="preserve">, </w:t>
      </w:r>
      <w:r w:rsidR="0056534F">
        <w:t>são</w:t>
      </w:r>
      <w:r>
        <w:t xml:space="preserve"> selecionadas 200 amostras </w:t>
      </w:r>
      <w:r w:rsidRPr="00770A15">
        <w:rPr>
          <w:i/>
          <w:iCs/>
          <w:noProof/>
        </w:rPr>
        <w:t>bootstrap</w:t>
      </w:r>
      <w:r>
        <w:t xml:space="preserve"> com uso da função </w:t>
      </w:r>
      <w:r w:rsidRPr="00770A15">
        <w:rPr>
          <w:i/>
          <w:iCs/>
          <w:noProof/>
        </w:rPr>
        <w:t>as.svrepdesign</w:t>
      </w:r>
      <w:r>
        <w:t xml:space="preserve"> do pacote </w:t>
      </w:r>
      <w:r w:rsidRPr="00770A15">
        <w:rPr>
          <w:i/>
          <w:iCs/>
          <w:noProof/>
        </w:rPr>
        <w:t>survey</w:t>
      </w:r>
      <w:r>
        <w:t xml:space="preserve"> do programa R, considerando o plano amostral</w:t>
      </w:r>
      <w:r w:rsidR="00AE4700">
        <w:t>.</w:t>
      </w:r>
    </w:p>
    <w:p w14:paraId="7A7D1784" w14:textId="05D2D996" w:rsidR="00EB56D5" w:rsidRDefault="00EB56D5" w:rsidP="00EB56D5">
      <w:pPr>
        <w:pStyle w:val="PargrafodaLista"/>
        <w:numPr>
          <w:ilvl w:val="0"/>
          <w:numId w:val="10"/>
        </w:numPr>
        <w:spacing w:after="160" w:line="259" w:lineRule="auto"/>
        <w:jc w:val="both"/>
      </w:pPr>
      <w:r>
        <w:t xml:space="preserve">Para cada uma destas 200 réplicas, </w:t>
      </w:r>
      <w:r w:rsidR="0056534F">
        <w:t>é</w:t>
      </w:r>
      <w:r>
        <w:t xml:space="preserve"> ajustado o modelo para </w:t>
      </w:r>
      <w:r w:rsidR="00DA0624">
        <w:t xml:space="preserve">a </w:t>
      </w:r>
      <w:r>
        <w:t xml:space="preserve">estimação de </w:t>
      </w:r>
      <w:r>
        <w:rPr>
          <w:noProof/>
        </w:rPr>
        <w:t>pseudoprobabilidades</w:t>
      </w:r>
      <w:r>
        <w:t xml:space="preserve"> de inclusão e </w:t>
      </w:r>
      <w:r>
        <w:rPr>
          <w:noProof/>
        </w:rPr>
        <w:t>pseudopesos</w:t>
      </w:r>
      <w:r w:rsidR="00DA0624">
        <w:rPr>
          <w:noProof/>
        </w:rPr>
        <w:t xml:space="preserve"> </w:t>
      </w:r>
      <w:r w:rsidR="00DA0624">
        <w:t>correspondentes</w:t>
      </w:r>
      <w:r w:rsidR="00AE4700">
        <w:t>.</w:t>
      </w:r>
    </w:p>
    <w:p w14:paraId="2BFC216F" w14:textId="658A17A8" w:rsidR="00EB56D5" w:rsidRDefault="00EB56D5" w:rsidP="00EB56D5">
      <w:pPr>
        <w:pStyle w:val="PargrafodaLista"/>
        <w:numPr>
          <w:ilvl w:val="0"/>
          <w:numId w:val="10"/>
        </w:numPr>
        <w:spacing w:after="160" w:line="259" w:lineRule="auto"/>
        <w:jc w:val="both"/>
      </w:pPr>
      <w:r>
        <w:t xml:space="preserve">Os </w:t>
      </w:r>
      <w:r>
        <w:rPr>
          <w:noProof/>
        </w:rPr>
        <w:t>pseudopesos</w:t>
      </w:r>
      <w:r>
        <w:t xml:space="preserve"> de cada réplica </w:t>
      </w:r>
      <w:r w:rsidR="0056534F">
        <w:t>são</w:t>
      </w:r>
      <w:r>
        <w:t xml:space="preserve"> calibrados e guardados para </w:t>
      </w:r>
      <w:r w:rsidR="00DA0624">
        <w:t xml:space="preserve">a </w:t>
      </w:r>
      <w:r>
        <w:t>estimação da variância.</w:t>
      </w:r>
    </w:p>
    <w:p w14:paraId="029B6A2F" w14:textId="77777777" w:rsidR="00EB56D5" w:rsidRDefault="00EB56D5" w:rsidP="00EB56D5">
      <w:pPr>
        <w:jc w:val="both"/>
      </w:pPr>
    </w:p>
    <w:p w14:paraId="1F452BCC" w14:textId="04F20765" w:rsidR="00EB56D5" w:rsidRDefault="00EB56D5" w:rsidP="00EB56D5">
      <w:pPr>
        <w:jc w:val="both"/>
      </w:pPr>
      <w:r>
        <w:t xml:space="preserve">A variância de estimativas de indicadores de interesse </w:t>
      </w:r>
      <w:r w:rsidR="0056534F">
        <w:t>é</w:t>
      </w:r>
      <w:r>
        <w:t xml:space="preserve"> estimada usando</w:t>
      </w:r>
      <w:r w:rsidR="00DA0624">
        <w:t xml:space="preserve"> a Fórmula 2.</w:t>
      </w:r>
    </w:p>
    <w:p w14:paraId="6E1342B7" w14:textId="140906BF" w:rsidR="00DA0624" w:rsidRPr="00412577" w:rsidRDefault="00DA0624" w:rsidP="00EB56D5">
      <w:pPr>
        <w:jc w:val="both"/>
        <w:rPr>
          <w:b/>
          <w:bCs/>
        </w:rPr>
      </w:pPr>
      <w:r w:rsidRPr="00412577">
        <w:rPr>
          <w:b/>
          <w:bCs/>
        </w:rPr>
        <w:t>Fórmula 2</w:t>
      </w:r>
    </w:p>
    <w:p w14:paraId="3BADF6B8" w14:textId="77777777" w:rsidR="00EB56D5" w:rsidRPr="008F247F" w:rsidRDefault="002C5541" w:rsidP="00EB56D5">
      <w:pPr>
        <w:jc w:val="both"/>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f>
            <m:fPr>
              <m:ctrlPr>
                <w:rPr>
                  <w:rFonts w:ascii="Cambria Math" w:hAnsi="Cambria Math"/>
                  <w:i/>
                </w:rPr>
              </m:ctrlPr>
            </m:fPr>
            <m:num>
              <m:r>
                <w:rPr>
                  <w:rFonts w:ascii="Cambria Math" w:hAnsi="Cambria Math"/>
                </w:rPr>
                <m:t>R-1</m:t>
              </m:r>
            </m:num>
            <m:den>
              <m:r>
                <w:rPr>
                  <w:rFonts w:ascii="Cambria Math" w:hAnsi="Cambria Math"/>
                </w:rPr>
                <m:t>R</m:t>
              </m:r>
            </m:den>
          </m:f>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acc>
                        <m:accPr>
                          <m:ctrlPr>
                            <w:rPr>
                              <w:rFonts w:ascii="Cambria Math" w:hAnsi="Cambria Math"/>
                              <w:i/>
                            </w:rPr>
                          </m:ctrlPr>
                        </m:accPr>
                        <m:e>
                          <m:r>
                            <w:rPr>
                              <w:rFonts w:ascii="Cambria Math" w:hAnsi="Cambria Math"/>
                            </w:rPr>
                            <m:t>y</m:t>
                          </m:r>
                        </m:e>
                      </m:acc>
                    </m:e>
                  </m:d>
                </m:e>
                <m:sup>
                  <m:r>
                    <w:rPr>
                      <w:rFonts w:ascii="Cambria Math" w:hAnsi="Cambria Math"/>
                    </w:rPr>
                    <m:t>2</m:t>
                  </m:r>
                </m:sup>
              </m:sSup>
            </m:e>
          </m:nary>
          <m:r>
            <w:rPr>
              <w:rFonts w:ascii="Cambria Math" w:hAnsi="Cambria Math"/>
            </w:rPr>
            <m:t>,</m:t>
          </m:r>
        </m:oMath>
      </m:oMathPara>
    </w:p>
    <w:p w14:paraId="4F0C567C" w14:textId="45534960" w:rsidR="00EB56D5" w:rsidRDefault="002C5541" w:rsidP="00EB56D5">
      <w:pPr>
        <w:jc w:val="both"/>
        <w:rPr>
          <w:rFonts w:eastAsiaTheme="minorEastAsia"/>
        </w:rPr>
      </w:pPr>
      <m:oMath>
        <m:acc>
          <m:accPr>
            <m:ctrlPr>
              <w:rPr>
                <w:rFonts w:ascii="Cambria Math" w:hAnsi="Cambria Math"/>
                <w:i/>
              </w:rPr>
            </m:ctrlPr>
          </m:accPr>
          <m:e>
            <m:r>
              <w:rPr>
                <w:rFonts w:ascii="Cambria Math" w:hAnsi="Cambria Math"/>
              </w:rPr>
              <m:t>y</m:t>
            </m:r>
          </m:e>
        </m:acc>
      </m:oMath>
      <w:r w:rsidR="00EB56D5">
        <w:rPr>
          <w:rFonts w:eastAsiaTheme="minorEastAsia"/>
        </w:rPr>
        <w:t xml:space="preserve"> é </w:t>
      </w:r>
      <w:r w:rsidR="00D47DD5">
        <w:rPr>
          <w:rFonts w:eastAsiaTheme="minorEastAsia"/>
        </w:rPr>
        <w:t xml:space="preserve">a </w:t>
      </w:r>
      <w:r w:rsidR="00EB56D5">
        <w:rPr>
          <w:rFonts w:eastAsiaTheme="minorEastAsia"/>
        </w:rPr>
        <w:t xml:space="preserve">estimativa do indicador </w:t>
      </w:r>
      <w:r w:rsidR="00EB56D5" w:rsidRPr="00553960">
        <w:rPr>
          <w:rFonts w:ascii="Cambria" w:eastAsiaTheme="minorEastAsia" w:hAnsi="Cambria"/>
          <w:i/>
          <w:iCs/>
        </w:rPr>
        <w:t>y</w:t>
      </w:r>
      <w:r w:rsidR="00EB56D5">
        <w:rPr>
          <w:rFonts w:ascii="Cambria" w:eastAsiaTheme="minorEastAsia" w:hAnsi="Cambria"/>
          <w:i/>
          <w:iCs/>
        </w:rPr>
        <w:t xml:space="preserve"> </w:t>
      </w:r>
      <w:r w:rsidR="00EB56D5">
        <w:rPr>
          <w:rFonts w:eastAsiaTheme="minorEastAsia" w:cstheme="minorHAnsi"/>
        </w:rPr>
        <w:t>obtida usando a amostra do Painel TIC COVID-19 (com 2.511 respondentes)</w:t>
      </w:r>
      <w:r w:rsidR="00EB56D5">
        <w:rPr>
          <w:rFonts w:eastAsiaTheme="minorEastAsia"/>
        </w:rPr>
        <w:t>;</w:t>
      </w:r>
    </w:p>
    <w:p w14:paraId="275EB009" w14:textId="77777777" w:rsidR="00EB56D5" w:rsidRDefault="002C5541" w:rsidP="00EB56D5">
      <w:pPr>
        <w:jc w:val="both"/>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oMath>
      <w:r w:rsidR="00EB56D5">
        <w:rPr>
          <w:rFonts w:eastAsiaTheme="minorEastAsia"/>
        </w:rPr>
        <w:t xml:space="preserve"> é a estimativa do indicador </w:t>
      </w:r>
      <w:r w:rsidR="00EB56D5" w:rsidRPr="007A3120">
        <w:rPr>
          <w:rFonts w:ascii="Cambria" w:eastAsiaTheme="minorEastAsia" w:hAnsi="Cambria"/>
          <w:i/>
          <w:iCs/>
        </w:rPr>
        <w:t>y</w:t>
      </w:r>
      <w:r w:rsidR="00EB56D5">
        <w:rPr>
          <w:rFonts w:eastAsiaTheme="minorEastAsia"/>
        </w:rPr>
        <w:t xml:space="preserve"> na réplica </w:t>
      </w:r>
      <w:r w:rsidR="00EB56D5" w:rsidRPr="007A3120">
        <w:rPr>
          <w:rFonts w:ascii="Cambria" w:eastAsiaTheme="minorEastAsia" w:hAnsi="Cambria"/>
          <w:i/>
          <w:iCs/>
        </w:rPr>
        <w:t>r</w:t>
      </w:r>
      <w:r w:rsidR="00EB56D5">
        <w:rPr>
          <w:rFonts w:eastAsiaTheme="minorEastAsia"/>
        </w:rPr>
        <w:t>;</w:t>
      </w:r>
    </w:p>
    <w:p w14:paraId="76940CB4" w14:textId="77777777" w:rsidR="00EB56D5" w:rsidRDefault="00EB56D5" w:rsidP="00EB56D5">
      <w:pPr>
        <w:jc w:val="both"/>
        <w:rPr>
          <w:rFonts w:eastAsiaTheme="minorEastAsia"/>
        </w:rPr>
      </w:pPr>
      <m:oMath>
        <m:r>
          <w:rPr>
            <w:rFonts w:ascii="Cambria Math" w:hAnsi="Cambria Math"/>
          </w:rPr>
          <m:t>R=200</m:t>
        </m:r>
      </m:oMath>
      <w:r>
        <w:rPr>
          <w:rFonts w:eastAsiaTheme="minorEastAsia"/>
        </w:rPr>
        <w:t xml:space="preserve"> é o total de réplicas </w:t>
      </w:r>
      <w:r w:rsidRPr="00553960">
        <w:rPr>
          <w:rFonts w:eastAsiaTheme="minorEastAsia"/>
          <w:i/>
          <w:noProof/>
        </w:rPr>
        <w:t>bootstrap</w:t>
      </w:r>
      <w:r>
        <w:rPr>
          <w:rFonts w:eastAsiaTheme="minorEastAsia"/>
        </w:rPr>
        <w:t xml:space="preserve"> formadas.</w:t>
      </w:r>
    </w:p>
    <w:p w14:paraId="3FB61CA0" w14:textId="56378668" w:rsidR="00EB56D5" w:rsidRPr="00412577" w:rsidRDefault="00AE4700" w:rsidP="00EB56D5">
      <w:pPr>
        <w:rPr>
          <w:rFonts w:eastAsiaTheme="minorEastAsia"/>
          <w:b/>
          <w:bCs/>
          <w:sz w:val="24"/>
          <w:szCs w:val="24"/>
        </w:rPr>
      </w:pPr>
      <w:r w:rsidRPr="00412577">
        <w:rPr>
          <w:rFonts w:eastAsiaTheme="minorEastAsia"/>
          <w:b/>
          <w:bCs/>
          <w:sz w:val="24"/>
          <w:szCs w:val="24"/>
        </w:rPr>
        <w:lastRenderedPageBreak/>
        <w:t>&lt;2&gt;</w:t>
      </w:r>
      <w:r w:rsidR="00EB56D5" w:rsidRPr="00412577">
        <w:rPr>
          <w:rFonts w:eastAsiaTheme="minorEastAsia"/>
          <w:b/>
          <w:bCs/>
          <w:sz w:val="24"/>
          <w:szCs w:val="24"/>
        </w:rPr>
        <w:t>D</w:t>
      </w:r>
      <w:r w:rsidRPr="00412577">
        <w:rPr>
          <w:rFonts w:eastAsiaTheme="minorEastAsia"/>
          <w:b/>
          <w:bCs/>
          <w:sz w:val="24"/>
          <w:szCs w:val="24"/>
        </w:rPr>
        <w:t>isseminação dos dados</w:t>
      </w:r>
    </w:p>
    <w:p w14:paraId="4874FE64" w14:textId="527F1B94" w:rsidR="00EB56D5" w:rsidRPr="004F3930" w:rsidRDefault="00EB56D5" w:rsidP="00EB56D5">
      <w:pPr>
        <w:jc w:val="both"/>
      </w:pPr>
      <w:r w:rsidRPr="004F3930">
        <w:t xml:space="preserve">Os resultados do Painel </w:t>
      </w:r>
      <w:r w:rsidR="007724AD">
        <w:t xml:space="preserve">TIC </w:t>
      </w:r>
      <w:r w:rsidRPr="004F3930">
        <w:t xml:space="preserve">são apresentados de acordo com as variáveis </w:t>
      </w:r>
      <w:r>
        <w:t xml:space="preserve">de classificação </w:t>
      </w:r>
      <w:r w:rsidRPr="004F3930">
        <w:t xml:space="preserve">descritas no item “Domínios de </w:t>
      </w:r>
      <w:r w:rsidR="00DA0624">
        <w:t>i</w:t>
      </w:r>
      <w:r w:rsidRPr="004F3930">
        <w:t xml:space="preserve">nteresse para </w:t>
      </w:r>
      <w:r w:rsidR="00DA0624">
        <w:t>a</w:t>
      </w:r>
      <w:r w:rsidRPr="004F3930">
        <w:t xml:space="preserve">nálise e </w:t>
      </w:r>
      <w:r w:rsidR="00DA0624">
        <w:t>d</w:t>
      </w:r>
      <w:r w:rsidRPr="004F3930">
        <w:t>ivulgação”. Arredondamentos fazem com que, em alguns resultados, a soma das categorias parciais difira de 100% em questões de resposta única. O somatório de frequências em questões de respostas múltiplas usualmente é diferente de 100%. Vale ressaltar que, nas tabelas de resultados, o hífen (–) é utilizado para representar a não resposta ao item. Por outro lado, como os resultados são apresentados sem casa decimal, as células com valor zero significam que houve resposta ao item, mas ele é explicitamente maior do que zero e menor do que um</w:t>
      </w:r>
      <w:r>
        <w:t xml:space="preserve"> por cento</w:t>
      </w:r>
      <w:r w:rsidRPr="004F3930">
        <w:t>.</w:t>
      </w:r>
    </w:p>
    <w:p w14:paraId="4B501B1E" w14:textId="00C8BC96" w:rsidR="00EB56D5" w:rsidRDefault="00EB56D5" w:rsidP="00EB56D5">
      <w:pPr>
        <w:jc w:val="both"/>
        <w:rPr>
          <w:rFonts w:eastAsiaTheme="minorEastAsia"/>
        </w:rPr>
      </w:pPr>
      <w:r w:rsidRPr="004F3930">
        <w:t xml:space="preserve">Os resultados são publicados em relatório </w:t>
      </w:r>
      <w:r w:rsidRPr="004F3930">
        <w:rPr>
          <w:i/>
          <w:iCs/>
        </w:rPr>
        <w:t>online</w:t>
      </w:r>
      <w:r w:rsidRPr="004F3930">
        <w:t xml:space="preserve"> e disponibilizados no </w:t>
      </w:r>
      <w:r w:rsidRPr="00553960">
        <w:rPr>
          <w:i/>
        </w:rPr>
        <w:t>site</w:t>
      </w:r>
      <w:r w:rsidRPr="004F3930">
        <w:t xml:space="preserve"> do Cetic.br</w:t>
      </w:r>
      <w:r w:rsidR="00DA0624">
        <w:t>|NIC.br</w:t>
      </w:r>
      <w:r w:rsidRPr="004F3930">
        <w:t xml:space="preserve"> (</w:t>
      </w:r>
      <w:hyperlink r:id="rId8" w:history="1">
        <w:r w:rsidRPr="004F3930">
          <w:t>http://www.cetic.br</w:t>
        </w:r>
      </w:hyperlink>
      <w:r w:rsidRPr="004F3930">
        <w:t xml:space="preserve">). </w:t>
      </w:r>
      <w:bookmarkStart w:id="2" w:name="_Hlk162950893"/>
      <w:r w:rsidR="00DA0624" w:rsidRPr="00DA0624">
        <w:t xml:space="preserve">As tabelas de proporções, totais e margens de erros calculadas para cada indicador </w:t>
      </w:r>
      <w:bookmarkEnd w:id="2"/>
      <w:r w:rsidRPr="004F3930">
        <w:t>estão disponíveis</w:t>
      </w:r>
      <w:r>
        <w:t xml:space="preserve"> </w:t>
      </w:r>
      <w:r w:rsidRPr="004F3930">
        <w:t xml:space="preserve">para </w:t>
      </w:r>
      <w:r w:rsidRPr="00553960">
        <w:rPr>
          <w:i/>
        </w:rPr>
        <w:t>download</w:t>
      </w:r>
      <w:r w:rsidRPr="004F3930">
        <w:t xml:space="preserve"> no </w:t>
      </w:r>
      <w:r w:rsidRPr="00553960">
        <w:rPr>
          <w:i/>
        </w:rPr>
        <w:t>website</w:t>
      </w:r>
      <w:r>
        <w:t>. Para efeito de comparação com edições anteriores da pesquisa TIC Domicílios, são disponibilizadas as tabelas da pesquisa considerando o mesmo recorte utilizado no Painel TIC</w:t>
      </w:r>
      <w:r w:rsidR="007724AD">
        <w:t xml:space="preserve"> </w:t>
      </w:r>
      <w:r w:rsidR="00DA0624" w:rsidRPr="00DA0624">
        <w:t xml:space="preserve">– </w:t>
      </w:r>
      <w:r w:rsidR="00DA0624">
        <w:t xml:space="preserve">quando necessário, </w:t>
      </w:r>
      <w:r w:rsidR="007724AD">
        <w:t>separando na pesquisa TIC Domicílios a população de suporte comum</w:t>
      </w:r>
      <w:r>
        <w:t>.</w:t>
      </w:r>
      <w:r>
        <w:rPr>
          <w:rFonts w:eastAsiaTheme="minorEastAsia"/>
        </w:rPr>
        <w:br w:type="page"/>
      </w:r>
    </w:p>
    <w:p w14:paraId="5B2D311A" w14:textId="6A90E4EC" w:rsidR="00EB56D5" w:rsidRPr="00412577" w:rsidRDefault="00045D49" w:rsidP="00EB56D5">
      <w:pPr>
        <w:jc w:val="both"/>
        <w:rPr>
          <w:b/>
          <w:bCs/>
          <w:sz w:val="24"/>
          <w:szCs w:val="24"/>
        </w:rPr>
      </w:pPr>
      <w:r w:rsidRPr="00412577">
        <w:rPr>
          <w:b/>
          <w:bCs/>
          <w:sz w:val="24"/>
          <w:szCs w:val="24"/>
        </w:rPr>
        <w:lastRenderedPageBreak/>
        <w:t>&lt;2&gt;</w:t>
      </w:r>
      <w:r w:rsidR="00EB56D5" w:rsidRPr="00412577">
        <w:rPr>
          <w:b/>
          <w:bCs/>
          <w:sz w:val="24"/>
          <w:szCs w:val="24"/>
        </w:rPr>
        <w:t>R</w:t>
      </w:r>
      <w:r w:rsidRPr="00412577">
        <w:rPr>
          <w:b/>
          <w:bCs/>
          <w:sz w:val="24"/>
          <w:szCs w:val="24"/>
        </w:rPr>
        <w:t>eferências</w:t>
      </w:r>
    </w:p>
    <w:p w14:paraId="05DDB3F1"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Elliott, M</w:t>
      </w:r>
      <w:r>
        <w:rPr>
          <w:noProof/>
          <w:sz w:val="20"/>
          <w:lang w:val="en-US"/>
        </w:rPr>
        <w:t>.</w:t>
      </w:r>
      <w:r w:rsidRPr="00442A48">
        <w:rPr>
          <w:noProof/>
          <w:sz w:val="20"/>
          <w:lang w:val="en-US"/>
        </w:rPr>
        <w:t xml:space="preserve"> R., </w:t>
      </w:r>
      <w:r>
        <w:rPr>
          <w:noProof/>
          <w:sz w:val="20"/>
          <w:lang w:val="en-US"/>
        </w:rPr>
        <w:t xml:space="preserve">&amp; </w:t>
      </w:r>
      <w:r w:rsidRPr="00442A48">
        <w:rPr>
          <w:noProof/>
          <w:sz w:val="20"/>
          <w:lang w:val="en-US"/>
        </w:rPr>
        <w:t>Valliant</w:t>
      </w:r>
      <w:r>
        <w:rPr>
          <w:noProof/>
          <w:sz w:val="20"/>
          <w:lang w:val="en-US"/>
        </w:rPr>
        <w:t>, R</w:t>
      </w:r>
      <w:r w:rsidRPr="00442A48">
        <w:rPr>
          <w:noProof/>
          <w:sz w:val="20"/>
          <w:lang w:val="en-US"/>
        </w:rPr>
        <w:t xml:space="preserve">. </w:t>
      </w:r>
      <w:r>
        <w:rPr>
          <w:noProof/>
          <w:sz w:val="20"/>
          <w:lang w:val="en-US"/>
        </w:rPr>
        <w:t>(</w:t>
      </w:r>
      <w:r w:rsidRPr="00442A48">
        <w:rPr>
          <w:noProof/>
          <w:sz w:val="20"/>
          <w:lang w:val="en-US"/>
        </w:rPr>
        <w:t>2017</w:t>
      </w:r>
      <w:r>
        <w:rPr>
          <w:noProof/>
          <w:sz w:val="20"/>
          <w:lang w:val="en-US"/>
        </w:rPr>
        <w:t>)</w:t>
      </w:r>
      <w:r w:rsidRPr="00442A48">
        <w:rPr>
          <w:noProof/>
          <w:sz w:val="20"/>
          <w:lang w:val="en-US"/>
        </w:rPr>
        <w:t xml:space="preserve">. Inference for </w:t>
      </w:r>
      <w:r>
        <w:rPr>
          <w:noProof/>
          <w:sz w:val="20"/>
          <w:lang w:val="en-US"/>
        </w:rPr>
        <w:t>n</w:t>
      </w:r>
      <w:r w:rsidRPr="00442A48">
        <w:rPr>
          <w:noProof/>
          <w:sz w:val="20"/>
          <w:lang w:val="en-US"/>
        </w:rPr>
        <w:t xml:space="preserve">onprobability </w:t>
      </w:r>
      <w:r>
        <w:rPr>
          <w:noProof/>
          <w:sz w:val="20"/>
          <w:lang w:val="en-US"/>
        </w:rPr>
        <w:t>s</w:t>
      </w:r>
      <w:r w:rsidRPr="00442A48">
        <w:rPr>
          <w:noProof/>
          <w:sz w:val="20"/>
          <w:lang w:val="en-US"/>
        </w:rPr>
        <w:t xml:space="preserve">amples. </w:t>
      </w:r>
      <w:r w:rsidRPr="00442A48">
        <w:rPr>
          <w:i/>
          <w:iCs/>
          <w:noProof/>
          <w:sz w:val="20"/>
          <w:lang w:val="en-US"/>
        </w:rPr>
        <w:t>Statistical Science</w:t>
      </w:r>
      <w:r>
        <w:rPr>
          <w:i/>
          <w:iCs/>
          <w:noProof/>
          <w:sz w:val="20"/>
          <w:lang w:val="en-US"/>
        </w:rPr>
        <w:t>,</w:t>
      </w:r>
      <w:r w:rsidRPr="00442A48">
        <w:rPr>
          <w:noProof/>
          <w:sz w:val="20"/>
          <w:lang w:val="en-US"/>
        </w:rPr>
        <w:t xml:space="preserve"> </w:t>
      </w:r>
      <w:r w:rsidRPr="00553960">
        <w:rPr>
          <w:i/>
          <w:noProof/>
          <w:sz w:val="20"/>
          <w:lang w:val="en-US"/>
        </w:rPr>
        <w:t>32</w:t>
      </w:r>
      <w:r w:rsidRPr="00442A48">
        <w:rPr>
          <w:noProof/>
          <w:sz w:val="20"/>
          <w:lang w:val="en-US"/>
        </w:rPr>
        <w:t>(2)</w:t>
      </w:r>
      <w:r>
        <w:rPr>
          <w:noProof/>
          <w:sz w:val="20"/>
          <w:lang w:val="en-US"/>
        </w:rPr>
        <w:t>,</w:t>
      </w:r>
      <w:r w:rsidRPr="00442A48">
        <w:rPr>
          <w:noProof/>
          <w:sz w:val="20"/>
          <w:lang w:val="en-US"/>
        </w:rPr>
        <w:t xml:space="preserve"> 249–64. </w:t>
      </w:r>
    </w:p>
    <w:p w14:paraId="12B7574F" w14:textId="3522CCE7" w:rsidR="00EB56D5" w:rsidRPr="00412577" w:rsidRDefault="00EB56D5" w:rsidP="00EB56D5">
      <w:pPr>
        <w:widowControl w:val="0"/>
        <w:autoSpaceDE w:val="0"/>
        <w:autoSpaceDN w:val="0"/>
        <w:adjustRightInd w:val="0"/>
        <w:rPr>
          <w:noProof/>
          <w:sz w:val="20"/>
          <w:lang w:val="en-US"/>
        </w:rPr>
      </w:pPr>
      <w:r>
        <w:rPr>
          <w:noProof/>
          <w:sz w:val="20"/>
          <w:lang w:val="en-US"/>
        </w:rPr>
        <w:t xml:space="preserve">União Internacional de Telecomunicações. (2014). </w:t>
      </w:r>
      <w:r w:rsidRPr="00553960">
        <w:rPr>
          <w:i/>
          <w:noProof/>
          <w:sz w:val="20"/>
          <w:lang w:val="en-US"/>
        </w:rPr>
        <w:t>Manual for measuring ICT access and use by households and individuals 2014</w:t>
      </w:r>
      <w:r>
        <w:rPr>
          <w:noProof/>
          <w:sz w:val="20"/>
          <w:lang w:val="en-US"/>
        </w:rPr>
        <w:t xml:space="preserve">. </w:t>
      </w:r>
      <w:r w:rsidRPr="00412577">
        <w:rPr>
          <w:noProof/>
          <w:sz w:val="20"/>
          <w:lang w:val="en-US"/>
        </w:rPr>
        <w:t>http://www.itu.int/dms_pub/itu-d/opb/ind/D-IND-ITCMEAS-2014-PDF-E.pdf</w:t>
      </w:r>
    </w:p>
    <w:p w14:paraId="1E9D313E"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 xml:space="preserve">Valliant, R. </w:t>
      </w:r>
      <w:r>
        <w:rPr>
          <w:noProof/>
          <w:sz w:val="20"/>
          <w:lang w:val="en-US"/>
        </w:rPr>
        <w:t>(</w:t>
      </w:r>
      <w:r w:rsidRPr="00442A48">
        <w:rPr>
          <w:noProof/>
          <w:sz w:val="20"/>
          <w:lang w:val="en-US"/>
        </w:rPr>
        <w:t>2019</w:t>
      </w:r>
      <w:r>
        <w:rPr>
          <w:noProof/>
          <w:sz w:val="20"/>
          <w:lang w:val="en-US"/>
        </w:rPr>
        <w:t>)</w:t>
      </w:r>
      <w:r w:rsidRPr="00442A48">
        <w:rPr>
          <w:noProof/>
          <w:sz w:val="20"/>
          <w:lang w:val="en-US"/>
        </w:rPr>
        <w:t xml:space="preserve">. Comparing </w:t>
      </w:r>
      <w:r>
        <w:rPr>
          <w:noProof/>
          <w:sz w:val="20"/>
          <w:lang w:val="en-US"/>
        </w:rPr>
        <w:t>a</w:t>
      </w:r>
      <w:r w:rsidRPr="00442A48">
        <w:rPr>
          <w:noProof/>
          <w:sz w:val="20"/>
          <w:lang w:val="en-US"/>
        </w:rPr>
        <w:t xml:space="preserve">lternatives for </w:t>
      </w:r>
      <w:r>
        <w:rPr>
          <w:noProof/>
          <w:sz w:val="20"/>
          <w:lang w:val="en-US"/>
        </w:rPr>
        <w:t>e</w:t>
      </w:r>
      <w:r w:rsidRPr="00442A48">
        <w:rPr>
          <w:noProof/>
          <w:sz w:val="20"/>
          <w:lang w:val="en-US"/>
        </w:rPr>
        <w:t xml:space="preserve">stimation from </w:t>
      </w:r>
      <w:r>
        <w:rPr>
          <w:noProof/>
          <w:sz w:val="20"/>
          <w:lang w:val="en-US"/>
        </w:rPr>
        <w:t>n</w:t>
      </w:r>
      <w:r w:rsidRPr="00442A48">
        <w:rPr>
          <w:noProof/>
          <w:sz w:val="20"/>
          <w:lang w:val="en-US"/>
        </w:rPr>
        <w:t xml:space="preserve">onprobability </w:t>
      </w:r>
      <w:r>
        <w:rPr>
          <w:noProof/>
          <w:sz w:val="20"/>
          <w:lang w:val="en-US"/>
        </w:rPr>
        <w:t>s</w:t>
      </w:r>
      <w:r w:rsidRPr="00442A48">
        <w:rPr>
          <w:noProof/>
          <w:sz w:val="20"/>
          <w:lang w:val="en-US"/>
        </w:rPr>
        <w:t xml:space="preserve">amples. </w:t>
      </w:r>
      <w:r w:rsidRPr="00442A48">
        <w:rPr>
          <w:i/>
          <w:iCs/>
          <w:noProof/>
          <w:sz w:val="20"/>
          <w:lang w:val="en-US"/>
        </w:rPr>
        <w:t>Journal of Survey Statistics and Methodology</w:t>
      </w:r>
      <w:r w:rsidRPr="00442A48">
        <w:rPr>
          <w:noProof/>
          <w:sz w:val="20"/>
          <w:lang w:val="en-US"/>
        </w:rPr>
        <w:t xml:space="preserve">, </w:t>
      </w:r>
      <w:r w:rsidRPr="00553960">
        <w:rPr>
          <w:i/>
          <w:noProof/>
          <w:sz w:val="20"/>
          <w:lang w:val="en-US"/>
        </w:rPr>
        <w:t>8</w:t>
      </w:r>
      <w:r>
        <w:rPr>
          <w:noProof/>
          <w:sz w:val="20"/>
          <w:lang w:val="en-US"/>
        </w:rPr>
        <w:t>(2), 231</w:t>
      </w:r>
      <w:r w:rsidRPr="00442A48">
        <w:rPr>
          <w:noProof/>
          <w:sz w:val="20"/>
          <w:lang w:val="en-US"/>
        </w:rPr>
        <w:t>–</w:t>
      </w:r>
      <w:r>
        <w:rPr>
          <w:noProof/>
          <w:sz w:val="20"/>
          <w:lang w:val="en-US"/>
        </w:rPr>
        <w:t>263</w:t>
      </w:r>
      <w:r w:rsidRPr="00442A48">
        <w:rPr>
          <w:noProof/>
          <w:sz w:val="20"/>
          <w:lang w:val="en-US"/>
        </w:rPr>
        <w:t>.</w:t>
      </w:r>
    </w:p>
    <w:p w14:paraId="00D6DEE3" w14:textId="77777777" w:rsidR="00C775A1" w:rsidRPr="00A61A79" w:rsidRDefault="00C775A1" w:rsidP="00C775A1">
      <w:pPr>
        <w:pStyle w:val="PargrafodaLista"/>
        <w:spacing w:line="360" w:lineRule="auto"/>
        <w:ind w:left="2138" w:right="1416"/>
        <w:rPr>
          <w:rFonts w:ascii="Arial" w:hAnsi="Arial" w:cs="Arial"/>
          <w:sz w:val="20"/>
          <w:szCs w:val="20"/>
          <w:lang w:val="en-US"/>
        </w:rPr>
      </w:pPr>
    </w:p>
    <w:sectPr w:rsidR="00C775A1" w:rsidRPr="00A61A79" w:rsidSect="007B24C4">
      <w:headerReference w:type="default" r:id="rId9"/>
      <w:footerReference w:type="default" r:id="rId10"/>
      <w:pgSz w:w="11906" w:h="16838"/>
      <w:pgMar w:top="2977" w:right="849" w:bottom="1843" w:left="851"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D9854" w14:textId="77777777" w:rsidR="00035819" w:rsidRDefault="00035819" w:rsidP="005D67F5">
      <w:pPr>
        <w:spacing w:after="0" w:line="240" w:lineRule="auto"/>
      </w:pPr>
      <w:r>
        <w:separator/>
      </w:r>
    </w:p>
  </w:endnote>
  <w:endnote w:type="continuationSeparator" w:id="0">
    <w:p w14:paraId="73B70DDB" w14:textId="77777777" w:rsidR="00035819" w:rsidRDefault="00035819" w:rsidP="005D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DA02" w14:textId="77777777" w:rsidR="00B632DB" w:rsidRDefault="00DC3775" w:rsidP="007B24C4">
    <w:pPr>
      <w:pStyle w:val="Rodap"/>
      <w:jc w:val="center"/>
    </w:pPr>
    <w:r>
      <w:rPr>
        <w:noProof/>
        <w:lang w:val="en-US"/>
      </w:rPr>
      <w:drawing>
        <wp:inline distT="0" distB="0" distL="0" distR="0" wp14:anchorId="6D138D5B" wp14:editId="29826BE0">
          <wp:extent cx="6099150" cy="86046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master:Comunicacao:Papelaria:2016:CEPTRO.br:Papel de Carta:papel-de-carta-_nic_201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99150" cy="860460"/>
                  </a:xfrm>
                  <a:prstGeom prst="rect">
                    <a:avLst/>
                  </a:prstGeom>
                  <a:noFill/>
                  <a:ln>
                    <a:noFill/>
                  </a:ln>
                </pic:spPr>
              </pic:pic>
            </a:graphicData>
          </a:graphic>
        </wp:inline>
      </w:drawing>
    </w:r>
  </w:p>
  <w:p w14:paraId="27363BA5" w14:textId="77777777" w:rsidR="00B632DB" w:rsidRDefault="00B632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B8A0" w14:textId="77777777" w:rsidR="00035819" w:rsidRDefault="00035819" w:rsidP="005D67F5">
      <w:pPr>
        <w:spacing w:after="0" w:line="240" w:lineRule="auto"/>
      </w:pPr>
      <w:r>
        <w:separator/>
      </w:r>
    </w:p>
  </w:footnote>
  <w:footnote w:type="continuationSeparator" w:id="0">
    <w:p w14:paraId="7B88AAA9" w14:textId="77777777" w:rsidR="00035819" w:rsidRDefault="00035819" w:rsidP="005D67F5">
      <w:pPr>
        <w:spacing w:after="0" w:line="240" w:lineRule="auto"/>
      </w:pPr>
      <w:r>
        <w:continuationSeparator/>
      </w:r>
    </w:p>
  </w:footnote>
  <w:footnote w:id="1">
    <w:p w14:paraId="0F983A5C" w14:textId="77777777" w:rsidR="0014288A" w:rsidRDefault="0014288A" w:rsidP="0014288A">
      <w:pPr>
        <w:pStyle w:val="Textodenotaderodap"/>
      </w:pPr>
      <w:r>
        <w:rPr>
          <w:rStyle w:val="Refdenotaderodap"/>
        </w:rPr>
        <w:footnoteRef/>
      </w:r>
      <w:r>
        <w:t xml:space="preserve"> Os graus de instrução apresentados referem-se à agregação dos níveis de escolaridade declarados que são iguais ou inferiores às categorias apresentadas, isto é, no grau Ensino Fundamental estão incluídas as escolaridades: sem instrução, Pré-escola e qualquer nível de escolaridade do Ensino Fundamental completo ou incompleto. O mesmo se aplica ao Ensino Médio e Superior.  </w:t>
      </w:r>
    </w:p>
  </w:footnote>
  <w:footnote w:id="2">
    <w:p w14:paraId="560A7F9A" w14:textId="0D000F04" w:rsidR="00EB56D5" w:rsidRPr="004A6A77" w:rsidRDefault="00EB56D5" w:rsidP="00EB56D5">
      <w:pPr>
        <w:pStyle w:val="Textodenotaderodap"/>
        <w:rPr>
          <w:u w:val="single"/>
        </w:rPr>
      </w:pPr>
      <w:r>
        <w:rPr>
          <w:rStyle w:val="Refdenotaderodap"/>
        </w:rPr>
        <w:footnoteRef/>
      </w:r>
      <w:r>
        <w:t xml:space="preserve"> </w:t>
      </w:r>
      <w:r w:rsidR="00B11426">
        <w:t xml:space="preserve">Mais </w:t>
      </w:r>
      <w:r>
        <w:t xml:space="preserve">detalhes no </w:t>
      </w:r>
      <w:r w:rsidRPr="00553960">
        <w:rPr>
          <w:i/>
        </w:rPr>
        <w:t>website</w:t>
      </w:r>
      <w:r>
        <w:t xml:space="preserve"> do Cetic.br</w:t>
      </w:r>
      <w:r w:rsidR="00B11426">
        <w:t>|NIC.br</w:t>
      </w:r>
      <w:r>
        <w:t>.</w:t>
      </w:r>
      <w:r w:rsidR="001B4D7F">
        <w:t xml:space="preserve"> </w:t>
      </w:r>
      <w:r w:rsidRPr="00CB6535">
        <w:t>http://cetic.br/media/microdados/256/ticdom_2019_relatorio_metodologico_v1.0.pdf</w:t>
      </w:r>
    </w:p>
  </w:footnote>
  <w:footnote w:id="3">
    <w:p w14:paraId="27DEDAE4" w14:textId="1D829B37" w:rsidR="009B3033" w:rsidRDefault="009B3033">
      <w:pPr>
        <w:pStyle w:val="Textodenotaderodap"/>
      </w:pPr>
      <w:r>
        <w:rPr>
          <w:rStyle w:val="Refdenotaderodap"/>
        </w:rPr>
        <w:footnoteRef/>
      </w:r>
      <w:r>
        <w:t xml:space="preserve"> A metodologia para a estimação dos </w:t>
      </w:r>
      <w:r>
        <w:rPr>
          <w:noProof/>
        </w:rPr>
        <w:t>pseudopesos</w:t>
      </w:r>
      <w:r>
        <w:t xml:space="preserve"> é apresentada na próxima seção.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12762" w14:textId="77777777" w:rsidR="005D67F5" w:rsidRPr="005D67F5" w:rsidRDefault="00920FB9" w:rsidP="007B24C4">
    <w:pPr>
      <w:pStyle w:val="Cabealho"/>
    </w:pPr>
    <w:r>
      <w:rPr>
        <w:noProof/>
        <w:lang w:val="en-US"/>
      </w:rPr>
      <w:drawing>
        <wp:inline distT="0" distB="0" distL="0" distR="0" wp14:anchorId="61E0502A" wp14:editId="757037A4">
          <wp:extent cx="944545" cy="935662"/>
          <wp:effectExtent l="0" t="0" r="825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101" cy="949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6F3"/>
    <w:multiLevelType w:val="hybridMultilevel"/>
    <w:tmpl w:val="D2BE4E7A"/>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02D71FE0"/>
    <w:multiLevelType w:val="hybridMultilevel"/>
    <w:tmpl w:val="446A106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7E16CE8"/>
    <w:multiLevelType w:val="hybridMultilevel"/>
    <w:tmpl w:val="A658ED8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1A1962C0"/>
    <w:multiLevelType w:val="hybridMultilevel"/>
    <w:tmpl w:val="3724C6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AB1E61"/>
    <w:multiLevelType w:val="hybridMultilevel"/>
    <w:tmpl w:val="551EB974"/>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0A51F2D"/>
    <w:multiLevelType w:val="hybridMultilevel"/>
    <w:tmpl w:val="5CEAE51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6DF5312"/>
    <w:multiLevelType w:val="hybridMultilevel"/>
    <w:tmpl w:val="352C376A"/>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55A3F01"/>
    <w:multiLevelType w:val="hybridMultilevel"/>
    <w:tmpl w:val="6F22CA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7A0468"/>
    <w:multiLevelType w:val="hybridMultilevel"/>
    <w:tmpl w:val="EF16B4B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80297B"/>
    <w:multiLevelType w:val="hybridMultilevel"/>
    <w:tmpl w:val="B37AD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3C1B40"/>
    <w:multiLevelType w:val="hybridMultilevel"/>
    <w:tmpl w:val="1D965BF8"/>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num w:numId="1" w16cid:durableId="2099325021">
    <w:abstractNumId w:val="2"/>
  </w:num>
  <w:num w:numId="2" w16cid:durableId="1470784462">
    <w:abstractNumId w:val="0"/>
  </w:num>
  <w:num w:numId="3" w16cid:durableId="117839330">
    <w:abstractNumId w:val="9"/>
  </w:num>
  <w:num w:numId="4" w16cid:durableId="1287348753">
    <w:abstractNumId w:val="8"/>
  </w:num>
  <w:num w:numId="5" w16cid:durableId="1163199371">
    <w:abstractNumId w:val="1"/>
  </w:num>
  <w:num w:numId="6" w16cid:durableId="1958875570">
    <w:abstractNumId w:val="5"/>
  </w:num>
  <w:num w:numId="7" w16cid:durableId="1840927252">
    <w:abstractNumId w:val="7"/>
  </w:num>
  <w:num w:numId="8" w16cid:durableId="21908034">
    <w:abstractNumId w:val="3"/>
  </w:num>
  <w:num w:numId="9" w16cid:durableId="771439155">
    <w:abstractNumId w:val="6"/>
  </w:num>
  <w:num w:numId="10" w16cid:durableId="74284653">
    <w:abstractNumId w:val="4"/>
  </w:num>
  <w:num w:numId="11" w16cid:durableId="1862237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F5"/>
    <w:rsid w:val="0001504B"/>
    <w:rsid w:val="00035819"/>
    <w:rsid w:val="00042E9A"/>
    <w:rsid w:val="00045D49"/>
    <w:rsid w:val="00061820"/>
    <w:rsid w:val="00073781"/>
    <w:rsid w:val="00076A6A"/>
    <w:rsid w:val="00095580"/>
    <w:rsid w:val="000A3E25"/>
    <w:rsid w:val="000A6725"/>
    <w:rsid w:val="000B2FFA"/>
    <w:rsid w:val="000B5B36"/>
    <w:rsid w:val="000B6F99"/>
    <w:rsid w:val="000C2DDE"/>
    <w:rsid w:val="000E04CD"/>
    <w:rsid w:val="000F13FA"/>
    <w:rsid w:val="00112AEF"/>
    <w:rsid w:val="00114AEB"/>
    <w:rsid w:val="001232FB"/>
    <w:rsid w:val="00132F16"/>
    <w:rsid w:val="0014288A"/>
    <w:rsid w:val="00156B1F"/>
    <w:rsid w:val="00174D0B"/>
    <w:rsid w:val="001A569A"/>
    <w:rsid w:val="001B0240"/>
    <w:rsid w:val="001B4D7F"/>
    <w:rsid w:val="001B605A"/>
    <w:rsid w:val="001B69DC"/>
    <w:rsid w:val="001D1541"/>
    <w:rsid w:val="001D3E2E"/>
    <w:rsid w:val="001F5A52"/>
    <w:rsid w:val="00206903"/>
    <w:rsid w:val="00211441"/>
    <w:rsid w:val="00223F84"/>
    <w:rsid w:val="00232FA7"/>
    <w:rsid w:val="00233570"/>
    <w:rsid w:val="00235CF8"/>
    <w:rsid w:val="002362FD"/>
    <w:rsid w:val="00266036"/>
    <w:rsid w:val="002873A6"/>
    <w:rsid w:val="0029076B"/>
    <w:rsid w:val="002910FB"/>
    <w:rsid w:val="0029214C"/>
    <w:rsid w:val="002A2A17"/>
    <w:rsid w:val="002C3E8C"/>
    <w:rsid w:val="002C5541"/>
    <w:rsid w:val="002D11C7"/>
    <w:rsid w:val="002D4965"/>
    <w:rsid w:val="002D7F54"/>
    <w:rsid w:val="002E77FD"/>
    <w:rsid w:val="002F4763"/>
    <w:rsid w:val="00317695"/>
    <w:rsid w:val="00325305"/>
    <w:rsid w:val="0034557B"/>
    <w:rsid w:val="00380417"/>
    <w:rsid w:val="0038348C"/>
    <w:rsid w:val="00387683"/>
    <w:rsid w:val="003A7818"/>
    <w:rsid w:val="003D2142"/>
    <w:rsid w:val="003E5C4C"/>
    <w:rsid w:val="00406113"/>
    <w:rsid w:val="00412577"/>
    <w:rsid w:val="00442909"/>
    <w:rsid w:val="004439B3"/>
    <w:rsid w:val="00467013"/>
    <w:rsid w:val="004760F8"/>
    <w:rsid w:val="004930EA"/>
    <w:rsid w:val="004960AC"/>
    <w:rsid w:val="004D173A"/>
    <w:rsid w:val="004E3373"/>
    <w:rsid w:val="004F7A80"/>
    <w:rsid w:val="005136A5"/>
    <w:rsid w:val="005155AF"/>
    <w:rsid w:val="00530E12"/>
    <w:rsid w:val="005405E7"/>
    <w:rsid w:val="00564322"/>
    <w:rsid w:val="0056534F"/>
    <w:rsid w:val="00577A70"/>
    <w:rsid w:val="00583C5F"/>
    <w:rsid w:val="005D27C7"/>
    <w:rsid w:val="005D3320"/>
    <w:rsid w:val="005D67F5"/>
    <w:rsid w:val="005E516C"/>
    <w:rsid w:val="005F4F6A"/>
    <w:rsid w:val="005F7B75"/>
    <w:rsid w:val="00606A0F"/>
    <w:rsid w:val="0061716E"/>
    <w:rsid w:val="0062447A"/>
    <w:rsid w:val="006434BA"/>
    <w:rsid w:val="00646159"/>
    <w:rsid w:val="00647DE9"/>
    <w:rsid w:val="006505AE"/>
    <w:rsid w:val="00654A73"/>
    <w:rsid w:val="00655E08"/>
    <w:rsid w:val="00674191"/>
    <w:rsid w:val="00687DFB"/>
    <w:rsid w:val="006B5E16"/>
    <w:rsid w:val="006C11DD"/>
    <w:rsid w:val="006E1216"/>
    <w:rsid w:val="006E4906"/>
    <w:rsid w:val="006F44B6"/>
    <w:rsid w:val="00701FA3"/>
    <w:rsid w:val="007064B2"/>
    <w:rsid w:val="00717F31"/>
    <w:rsid w:val="007213CB"/>
    <w:rsid w:val="0074731A"/>
    <w:rsid w:val="0075543E"/>
    <w:rsid w:val="00764501"/>
    <w:rsid w:val="007724AD"/>
    <w:rsid w:val="00774C4E"/>
    <w:rsid w:val="00792BC4"/>
    <w:rsid w:val="00795BFB"/>
    <w:rsid w:val="007A09F7"/>
    <w:rsid w:val="007A441E"/>
    <w:rsid w:val="007B1A58"/>
    <w:rsid w:val="007B24C4"/>
    <w:rsid w:val="007C63EF"/>
    <w:rsid w:val="007D4388"/>
    <w:rsid w:val="008026E0"/>
    <w:rsid w:val="0080548B"/>
    <w:rsid w:val="008137FA"/>
    <w:rsid w:val="00817457"/>
    <w:rsid w:val="0082392F"/>
    <w:rsid w:val="00824578"/>
    <w:rsid w:val="00834849"/>
    <w:rsid w:val="0083744F"/>
    <w:rsid w:val="00855442"/>
    <w:rsid w:val="00855E99"/>
    <w:rsid w:val="0085621D"/>
    <w:rsid w:val="0086302E"/>
    <w:rsid w:val="008A2517"/>
    <w:rsid w:val="008B5A1E"/>
    <w:rsid w:val="008C4D3D"/>
    <w:rsid w:val="008E0004"/>
    <w:rsid w:val="008E1AB2"/>
    <w:rsid w:val="0091279B"/>
    <w:rsid w:val="00920FB9"/>
    <w:rsid w:val="00925804"/>
    <w:rsid w:val="00925931"/>
    <w:rsid w:val="00930406"/>
    <w:rsid w:val="009531E8"/>
    <w:rsid w:val="00955FF2"/>
    <w:rsid w:val="00965379"/>
    <w:rsid w:val="00984FE8"/>
    <w:rsid w:val="009879B0"/>
    <w:rsid w:val="0099339A"/>
    <w:rsid w:val="0099572E"/>
    <w:rsid w:val="009A2966"/>
    <w:rsid w:val="009A3E15"/>
    <w:rsid w:val="009B3033"/>
    <w:rsid w:val="009C06A8"/>
    <w:rsid w:val="009C309D"/>
    <w:rsid w:val="009D077B"/>
    <w:rsid w:val="009F3A10"/>
    <w:rsid w:val="00A06673"/>
    <w:rsid w:val="00A173AE"/>
    <w:rsid w:val="00A24DC2"/>
    <w:rsid w:val="00A25CD0"/>
    <w:rsid w:val="00A61A79"/>
    <w:rsid w:val="00AB0046"/>
    <w:rsid w:val="00AB39AC"/>
    <w:rsid w:val="00AC3FB9"/>
    <w:rsid w:val="00AD7D67"/>
    <w:rsid w:val="00AE4700"/>
    <w:rsid w:val="00AE7831"/>
    <w:rsid w:val="00AF5AA5"/>
    <w:rsid w:val="00B11426"/>
    <w:rsid w:val="00B309BB"/>
    <w:rsid w:val="00B36D76"/>
    <w:rsid w:val="00B45BF7"/>
    <w:rsid w:val="00B54448"/>
    <w:rsid w:val="00B602C8"/>
    <w:rsid w:val="00B61646"/>
    <w:rsid w:val="00B632DB"/>
    <w:rsid w:val="00B67234"/>
    <w:rsid w:val="00B82E9F"/>
    <w:rsid w:val="00B92775"/>
    <w:rsid w:val="00B92BA1"/>
    <w:rsid w:val="00BB6625"/>
    <w:rsid w:val="00BC4F64"/>
    <w:rsid w:val="00BD3F39"/>
    <w:rsid w:val="00BE13AE"/>
    <w:rsid w:val="00BE6974"/>
    <w:rsid w:val="00C130E0"/>
    <w:rsid w:val="00C3605E"/>
    <w:rsid w:val="00C756B7"/>
    <w:rsid w:val="00C775A1"/>
    <w:rsid w:val="00C86B59"/>
    <w:rsid w:val="00CB7A8A"/>
    <w:rsid w:val="00CD1076"/>
    <w:rsid w:val="00CE079D"/>
    <w:rsid w:val="00CF17E6"/>
    <w:rsid w:val="00D05040"/>
    <w:rsid w:val="00D222A0"/>
    <w:rsid w:val="00D22A7C"/>
    <w:rsid w:val="00D47DD5"/>
    <w:rsid w:val="00D94AC9"/>
    <w:rsid w:val="00DA0624"/>
    <w:rsid w:val="00DC0622"/>
    <w:rsid w:val="00DC3775"/>
    <w:rsid w:val="00E134EC"/>
    <w:rsid w:val="00E250E5"/>
    <w:rsid w:val="00EB56D5"/>
    <w:rsid w:val="00EC1617"/>
    <w:rsid w:val="00EC4435"/>
    <w:rsid w:val="00EC4840"/>
    <w:rsid w:val="00ED356C"/>
    <w:rsid w:val="00F01AAB"/>
    <w:rsid w:val="00F10E08"/>
    <w:rsid w:val="00F422F2"/>
    <w:rsid w:val="00F533F5"/>
    <w:rsid w:val="00F54922"/>
    <w:rsid w:val="00F673D2"/>
    <w:rsid w:val="00F85031"/>
    <w:rsid w:val="00FC010B"/>
    <w:rsid w:val="00FD2291"/>
    <w:rsid w:val="00FE2A5F"/>
    <w:rsid w:val="00FF4CA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4C3187"/>
  <w15:docId w15:val="{BFF03BB6-81BF-4DA7-A0EF-64C79638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67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B5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D67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67F5"/>
    <w:rPr>
      <w:rFonts w:ascii="Tahoma" w:hAnsi="Tahoma" w:cs="Tahoma"/>
      <w:sz w:val="16"/>
      <w:szCs w:val="16"/>
    </w:rPr>
  </w:style>
  <w:style w:type="paragraph" w:styleId="Cabealho">
    <w:name w:val="header"/>
    <w:basedOn w:val="Normal"/>
    <w:link w:val="CabealhoChar"/>
    <w:uiPriority w:val="99"/>
    <w:unhideWhenUsed/>
    <w:rsid w:val="005D67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67F5"/>
  </w:style>
  <w:style w:type="paragraph" w:styleId="Rodap">
    <w:name w:val="footer"/>
    <w:basedOn w:val="Normal"/>
    <w:link w:val="RodapChar"/>
    <w:uiPriority w:val="99"/>
    <w:unhideWhenUsed/>
    <w:rsid w:val="005D67F5"/>
    <w:pPr>
      <w:tabs>
        <w:tab w:val="center" w:pos="4252"/>
        <w:tab w:val="right" w:pos="8504"/>
      </w:tabs>
      <w:spacing w:after="0" w:line="240" w:lineRule="auto"/>
    </w:pPr>
  </w:style>
  <w:style w:type="character" w:customStyle="1" w:styleId="RodapChar">
    <w:name w:val="Rodapé Char"/>
    <w:basedOn w:val="Fontepargpadro"/>
    <w:link w:val="Rodap"/>
    <w:uiPriority w:val="99"/>
    <w:rsid w:val="005D67F5"/>
  </w:style>
  <w:style w:type="paragraph" w:styleId="SemEspaamento">
    <w:name w:val="No Spacing"/>
    <w:uiPriority w:val="1"/>
    <w:qFormat/>
    <w:rsid w:val="005D67F5"/>
    <w:pPr>
      <w:spacing w:after="0" w:line="240" w:lineRule="auto"/>
    </w:pPr>
  </w:style>
  <w:style w:type="character" w:customStyle="1" w:styleId="Ttulo1Char">
    <w:name w:val="Título 1 Char"/>
    <w:basedOn w:val="Fontepargpadro"/>
    <w:link w:val="Ttulo1"/>
    <w:uiPriority w:val="9"/>
    <w:rsid w:val="005D67F5"/>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5A1"/>
    <w:pPr>
      <w:ind w:left="720"/>
      <w:contextualSpacing/>
    </w:pPr>
  </w:style>
  <w:style w:type="character" w:customStyle="1" w:styleId="Ttulo2Char">
    <w:name w:val="Título 2 Char"/>
    <w:basedOn w:val="Fontepargpadro"/>
    <w:link w:val="Ttulo2"/>
    <w:uiPriority w:val="9"/>
    <w:semiHidden/>
    <w:rsid w:val="00EB56D5"/>
    <w:rPr>
      <w:rFonts w:asciiTheme="majorHAnsi" w:eastAsiaTheme="majorEastAsia" w:hAnsiTheme="majorHAnsi" w:cstheme="majorBidi"/>
      <w:color w:val="365F91" w:themeColor="accent1" w:themeShade="BF"/>
      <w:sz w:val="26"/>
      <w:szCs w:val="26"/>
    </w:rPr>
  </w:style>
  <w:style w:type="character" w:styleId="Refdecomentrio">
    <w:name w:val="annotation reference"/>
    <w:basedOn w:val="Fontepargpadro"/>
    <w:uiPriority w:val="99"/>
    <w:semiHidden/>
    <w:unhideWhenUsed/>
    <w:rsid w:val="00EB56D5"/>
    <w:rPr>
      <w:sz w:val="16"/>
      <w:szCs w:val="16"/>
    </w:rPr>
  </w:style>
  <w:style w:type="paragraph" w:styleId="Textodecomentrio">
    <w:name w:val="annotation text"/>
    <w:basedOn w:val="Normal"/>
    <w:link w:val="TextodecomentrioChar"/>
    <w:uiPriority w:val="99"/>
    <w:unhideWhenUsed/>
    <w:rsid w:val="00EB56D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EB56D5"/>
    <w:rPr>
      <w:sz w:val="20"/>
      <w:szCs w:val="20"/>
    </w:rPr>
  </w:style>
  <w:style w:type="paragraph" w:styleId="Assuntodocomentrio">
    <w:name w:val="annotation subject"/>
    <w:basedOn w:val="Textodecomentrio"/>
    <w:next w:val="Textodecomentrio"/>
    <w:link w:val="AssuntodocomentrioChar"/>
    <w:uiPriority w:val="99"/>
    <w:semiHidden/>
    <w:unhideWhenUsed/>
    <w:rsid w:val="00EB56D5"/>
    <w:rPr>
      <w:b/>
      <w:bCs/>
    </w:rPr>
  </w:style>
  <w:style w:type="character" w:customStyle="1" w:styleId="AssuntodocomentrioChar">
    <w:name w:val="Assunto do comentário Char"/>
    <w:basedOn w:val="TextodecomentrioChar"/>
    <w:link w:val="Assuntodocomentrio"/>
    <w:uiPriority w:val="99"/>
    <w:semiHidden/>
    <w:rsid w:val="00EB56D5"/>
    <w:rPr>
      <w:b/>
      <w:bCs/>
      <w:sz w:val="20"/>
      <w:szCs w:val="20"/>
    </w:rPr>
  </w:style>
  <w:style w:type="paragraph" w:styleId="Textodenotaderodap">
    <w:name w:val="footnote text"/>
    <w:basedOn w:val="Normal"/>
    <w:link w:val="TextodenotaderodapChar"/>
    <w:uiPriority w:val="99"/>
    <w:semiHidden/>
    <w:unhideWhenUsed/>
    <w:rsid w:val="00EB56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56D5"/>
    <w:rPr>
      <w:sz w:val="20"/>
      <w:szCs w:val="20"/>
    </w:rPr>
  </w:style>
  <w:style w:type="character" w:styleId="Refdenotaderodap">
    <w:name w:val="footnote reference"/>
    <w:basedOn w:val="Fontepargpadro"/>
    <w:uiPriority w:val="99"/>
    <w:semiHidden/>
    <w:unhideWhenUsed/>
    <w:rsid w:val="00EB56D5"/>
    <w:rPr>
      <w:vertAlign w:val="superscript"/>
    </w:rPr>
  </w:style>
  <w:style w:type="character" w:styleId="Hyperlink">
    <w:name w:val="Hyperlink"/>
    <w:basedOn w:val="Fontepargpadro"/>
    <w:uiPriority w:val="99"/>
    <w:unhideWhenUsed/>
    <w:rsid w:val="00EB56D5"/>
    <w:rPr>
      <w:color w:val="0000FF"/>
      <w:u w:val="single"/>
    </w:rPr>
  </w:style>
  <w:style w:type="character" w:styleId="TextodoEspaoReservado">
    <w:name w:val="Placeholder Text"/>
    <w:basedOn w:val="Fontepargpadro"/>
    <w:uiPriority w:val="99"/>
    <w:semiHidden/>
    <w:rsid w:val="00EB56D5"/>
    <w:rPr>
      <w:color w:val="808080"/>
    </w:rPr>
  </w:style>
  <w:style w:type="table" w:styleId="Tabelacomgrade">
    <w:name w:val="Table Grid"/>
    <w:basedOn w:val="Tabelanormal"/>
    <w:uiPriority w:val="39"/>
    <w:rsid w:val="00EB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B56D5"/>
    <w:rPr>
      <w:color w:val="605E5C"/>
      <w:shd w:val="clear" w:color="auto" w:fill="E1DFDD"/>
    </w:rPr>
  </w:style>
  <w:style w:type="paragraph" w:styleId="Reviso">
    <w:name w:val="Revision"/>
    <w:hidden/>
    <w:uiPriority w:val="99"/>
    <w:semiHidden/>
    <w:rsid w:val="00EB56D5"/>
    <w:pPr>
      <w:spacing w:after="0" w:line="240" w:lineRule="auto"/>
    </w:pPr>
  </w:style>
  <w:style w:type="character" w:customStyle="1" w:styleId="A1">
    <w:name w:val="A1"/>
    <w:uiPriority w:val="99"/>
    <w:rsid w:val="00EB56D5"/>
    <w:rPr>
      <w:rFonts w:cs="Optima LT 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9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i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35E68C-16D9-DA42-9487-A63BD1B8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3233</Words>
  <Characters>18432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Klezer</dc:creator>
  <cp:lastModifiedBy>Luiza C</cp:lastModifiedBy>
  <cp:revision>3</cp:revision>
  <cp:lastPrinted>2016-03-08T13:11:00Z</cp:lastPrinted>
  <dcterms:created xsi:type="dcterms:W3CDTF">2024-04-02T18:08:00Z</dcterms:created>
  <dcterms:modified xsi:type="dcterms:W3CDTF">2024-06-20T18:39:00Z</dcterms:modified>
</cp:coreProperties>
</file>