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45"/>
        <w:rPr>
          <w:rFonts w:ascii="Times New Roman"/>
          <w:sz w:val="32"/>
        </w:rPr>
      </w:pPr>
    </w:p>
    <w:p>
      <w:pPr>
        <w:pStyle w:val="Title"/>
        <w:spacing w:line="278" w:lineRule="auto"/>
      </w:pPr>
      <w:r>
        <w:rPr/>
        <w:t>RELATÓRIO METODOLÓGICO PAINEL</w:t>
      </w:r>
      <w:r>
        <w:rPr>
          <w:spacing w:val="-7"/>
        </w:rPr>
        <w:t> </w:t>
      </w:r>
      <w:r>
        <w:rPr/>
        <w:t>TIC</w:t>
      </w:r>
      <w:r>
        <w:rPr>
          <w:spacing w:val="-8"/>
        </w:rPr>
        <w:t> </w:t>
      </w:r>
      <w:r>
        <w:rPr/>
        <w:t>COVID-19</w:t>
      </w:r>
      <w:r>
        <w:rPr>
          <w:spacing w:val="-6"/>
        </w:rPr>
        <w:t> </w:t>
      </w:r>
      <w:r>
        <w:rPr/>
        <w:t>–</w:t>
      </w:r>
      <w:r>
        <w:rPr>
          <w:spacing w:val="-7"/>
        </w:rPr>
        <w:t> </w:t>
      </w:r>
      <w:r>
        <w:rPr/>
        <w:t>Edição</w:t>
      </w:r>
      <w:r>
        <w:rPr>
          <w:spacing w:val="-10"/>
        </w:rPr>
        <w:t> </w:t>
      </w:r>
      <w:r>
        <w:rPr/>
        <w:t>3</w:t>
      </w:r>
    </w:p>
    <w:p>
      <w:pPr>
        <w:pStyle w:val="BodyText"/>
        <w:spacing w:before="181"/>
        <w:rPr>
          <w:b/>
          <w:sz w:val="24"/>
        </w:rPr>
      </w:pPr>
    </w:p>
    <w:p>
      <w:pPr>
        <w:pStyle w:val="Heading1"/>
        <w:numPr>
          <w:ilvl w:val="0"/>
          <w:numId w:val="1"/>
        </w:numPr>
        <w:tabs>
          <w:tab w:pos="319" w:val="left" w:leader="none"/>
        </w:tabs>
        <w:spacing w:line="240" w:lineRule="auto" w:before="0" w:after="0"/>
        <w:ind w:left="319" w:right="0" w:hanging="175"/>
        <w:jc w:val="left"/>
      </w:pPr>
      <w:r>
        <w:rPr/>
        <w:t>- </w:t>
      </w:r>
      <w:r>
        <w:rPr>
          <w:spacing w:val="-2"/>
        </w:rPr>
        <w:t>INTRODUÇÃO</w:t>
      </w:r>
    </w:p>
    <w:p>
      <w:pPr>
        <w:pStyle w:val="BodyText"/>
        <w:spacing w:line="276" w:lineRule="auto" w:before="282"/>
        <w:ind w:left="144" w:right="143"/>
        <w:jc w:val="both"/>
      </w:pPr>
      <w:r>
        <w:rPr/>
        <w:t>O Comitê Gestor da Internet no Brasil (CGI.br), por meio do Centro Regional de Estudos para o Desenvolvimento da Sociedade da Informação (Cetic.br), departamento do Núcleo de Informação e Coordenação do Ponto BR (NIC.br), apresenta a metodologia do Painel TIC COVID-19: Pesquisa sobre o uso da Internet no Brasil durante a pandemia do novo coronavírus.</w:t>
      </w:r>
    </w:p>
    <w:p>
      <w:pPr>
        <w:pStyle w:val="BodyText"/>
        <w:spacing w:line="276" w:lineRule="auto" w:before="242"/>
        <w:ind w:left="144" w:right="138"/>
        <w:jc w:val="both"/>
      </w:pPr>
      <w:r>
        <w:rPr/>
        <w:t>A pandemia COVID-19 afetou de forma substancial o trabalho dos institutos nacionais de estatística e demais produtores de dados em todo o mundo e, particularmente, entre os países da América Latina. A realização de pesquisas</w:t>
      </w:r>
      <w:r>
        <w:rPr>
          <w:spacing w:val="-3"/>
        </w:rPr>
        <w:t> </w:t>
      </w:r>
      <w:r>
        <w:rPr/>
        <w:t>domiciliares</w:t>
      </w:r>
      <w:r>
        <w:rPr>
          <w:spacing w:val="-3"/>
        </w:rPr>
        <w:t> </w:t>
      </w:r>
      <w:r>
        <w:rPr/>
        <w:t>presenciais</w:t>
      </w:r>
      <w:r>
        <w:rPr>
          <w:spacing w:val="-3"/>
        </w:rPr>
        <w:t> </w:t>
      </w:r>
      <w:r>
        <w:rPr/>
        <w:t>tem</w:t>
      </w:r>
      <w:r>
        <w:rPr>
          <w:spacing w:val="-4"/>
        </w:rPr>
        <w:t> </w:t>
      </w:r>
      <w:r>
        <w:rPr/>
        <w:t>sido</w:t>
      </w:r>
      <w:r>
        <w:rPr>
          <w:spacing w:val="-4"/>
        </w:rPr>
        <w:t> </w:t>
      </w:r>
      <w:r>
        <w:rPr/>
        <w:t>diretamente</w:t>
      </w:r>
      <w:r>
        <w:rPr>
          <w:spacing w:val="-2"/>
        </w:rPr>
        <w:t> </w:t>
      </w:r>
      <w:r>
        <w:rPr/>
        <w:t>impactada</w:t>
      </w:r>
      <w:r>
        <w:rPr>
          <w:spacing w:val="-5"/>
        </w:rPr>
        <w:t> </w:t>
      </w:r>
      <w:r>
        <w:rPr/>
        <w:t>pelas</w:t>
      </w:r>
      <w:r>
        <w:rPr>
          <w:spacing w:val="-3"/>
        </w:rPr>
        <w:t> </w:t>
      </w:r>
      <w:r>
        <w:rPr/>
        <w:t>medidas</w:t>
      </w:r>
      <w:r>
        <w:rPr>
          <w:spacing w:val="-3"/>
        </w:rPr>
        <w:t> </w:t>
      </w:r>
      <w:r>
        <w:rPr/>
        <w:t>de</w:t>
      </w:r>
      <w:r>
        <w:rPr>
          <w:spacing w:val="-5"/>
        </w:rPr>
        <w:t> </w:t>
      </w:r>
      <w:r>
        <w:rPr/>
        <w:t>distanciamento</w:t>
      </w:r>
      <w:r>
        <w:rPr>
          <w:spacing w:val="-4"/>
        </w:rPr>
        <w:t> </w:t>
      </w:r>
      <w:r>
        <w:rPr/>
        <w:t>social</w:t>
      </w:r>
      <w:r>
        <w:rPr>
          <w:spacing w:val="-3"/>
        </w:rPr>
        <w:t> </w:t>
      </w:r>
      <w:r>
        <w:rPr/>
        <w:t>e</w:t>
      </w:r>
      <w:r>
        <w:rPr>
          <w:spacing w:val="-2"/>
        </w:rPr>
        <w:t> </w:t>
      </w:r>
      <w:r>
        <w:rPr/>
        <w:t>pela necessidade</w:t>
      </w:r>
      <w:r>
        <w:rPr>
          <w:spacing w:val="-2"/>
        </w:rPr>
        <w:t> </w:t>
      </w:r>
      <w:r>
        <w:rPr/>
        <w:t>de</w:t>
      </w:r>
      <w:r>
        <w:rPr>
          <w:spacing w:val="-2"/>
        </w:rPr>
        <w:t> </w:t>
      </w:r>
      <w:r>
        <w:rPr/>
        <w:t>preservar a</w:t>
      </w:r>
      <w:r>
        <w:rPr>
          <w:spacing w:val="-2"/>
        </w:rPr>
        <w:t> </w:t>
      </w:r>
      <w:r>
        <w:rPr/>
        <w:t>saúde</w:t>
      </w:r>
      <w:r>
        <w:rPr>
          <w:spacing w:val="-2"/>
        </w:rPr>
        <w:t> </w:t>
      </w:r>
      <w:r>
        <w:rPr/>
        <w:t>de</w:t>
      </w:r>
      <w:r>
        <w:rPr>
          <w:spacing w:val="-2"/>
        </w:rPr>
        <w:t> </w:t>
      </w:r>
      <w:r>
        <w:rPr/>
        <w:t>entrevistadores e</w:t>
      </w:r>
      <w:r>
        <w:rPr>
          <w:spacing w:val="-2"/>
        </w:rPr>
        <w:t> </w:t>
      </w:r>
      <w:r>
        <w:rPr/>
        <w:t>informantes, atendendo a recomendações da</w:t>
      </w:r>
      <w:r>
        <w:rPr>
          <w:spacing w:val="-1"/>
        </w:rPr>
        <w:t> </w:t>
      </w:r>
      <w:r>
        <w:rPr/>
        <w:t>Organização Mundial de Saúde (OMS).</w:t>
      </w:r>
    </w:p>
    <w:p>
      <w:pPr>
        <w:pStyle w:val="BodyText"/>
        <w:spacing w:line="276" w:lineRule="auto" w:before="240"/>
        <w:ind w:left="144" w:right="136"/>
        <w:jc w:val="both"/>
      </w:pPr>
      <w:r>
        <w:rPr/>
        <w:t>Diante</w:t>
      </w:r>
      <w:r>
        <w:rPr>
          <w:spacing w:val="-13"/>
        </w:rPr>
        <w:t> </w:t>
      </w:r>
      <w:r>
        <w:rPr/>
        <w:t>das</w:t>
      </w:r>
      <w:r>
        <w:rPr>
          <w:spacing w:val="-12"/>
        </w:rPr>
        <w:t> </w:t>
      </w:r>
      <w:r>
        <w:rPr/>
        <w:t>limitações</w:t>
      </w:r>
      <w:r>
        <w:rPr>
          <w:spacing w:val="-13"/>
        </w:rPr>
        <w:t> </w:t>
      </w:r>
      <w:r>
        <w:rPr/>
        <w:t>no</w:t>
      </w:r>
      <w:r>
        <w:rPr>
          <w:spacing w:val="-12"/>
        </w:rPr>
        <w:t> </w:t>
      </w:r>
      <w:r>
        <w:rPr/>
        <w:t>atual</w:t>
      </w:r>
      <w:r>
        <w:rPr>
          <w:spacing w:val="-13"/>
        </w:rPr>
        <w:t> </w:t>
      </w:r>
      <w:r>
        <w:rPr/>
        <w:t>momento</w:t>
      </w:r>
      <w:r>
        <w:rPr>
          <w:spacing w:val="-12"/>
        </w:rPr>
        <w:t> </w:t>
      </w:r>
      <w:r>
        <w:rPr/>
        <w:t>para</w:t>
      </w:r>
      <w:r>
        <w:rPr>
          <w:spacing w:val="-13"/>
        </w:rPr>
        <w:t> </w:t>
      </w:r>
      <w:r>
        <w:rPr/>
        <w:t>a</w:t>
      </w:r>
      <w:r>
        <w:rPr>
          <w:spacing w:val="-12"/>
        </w:rPr>
        <w:t> </w:t>
      </w:r>
      <w:r>
        <w:rPr/>
        <w:t>coleta</w:t>
      </w:r>
      <w:r>
        <w:rPr>
          <w:spacing w:val="-12"/>
        </w:rPr>
        <w:t> </w:t>
      </w:r>
      <w:r>
        <w:rPr/>
        <w:t>de</w:t>
      </w:r>
      <w:r>
        <w:rPr>
          <w:spacing w:val="-13"/>
        </w:rPr>
        <w:t> </w:t>
      </w:r>
      <w:r>
        <w:rPr/>
        <w:t>dados</w:t>
      </w:r>
      <w:r>
        <w:rPr>
          <w:spacing w:val="-12"/>
        </w:rPr>
        <w:t> </w:t>
      </w:r>
      <w:r>
        <w:rPr/>
        <w:t>por</w:t>
      </w:r>
      <w:r>
        <w:rPr>
          <w:spacing w:val="-13"/>
        </w:rPr>
        <w:t> </w:t>
      </w:r>
      <w:r>
        <w:rPr/>
        <w:t>métodos</w:t>
      </w:r>
      <w:r>
        <w:rPr>
          <w:spacing w:val="-12"/>
        </w:rPr>
        <w:t> </w:t>
      </w:r>
      <w:r>
        <w:rPr/>
        <w:t>tradicionais</w:t>
      </w:r>
      <w:r>
        <w:rPr>
          <w:spacing w:val="-13"/>
        </w:rPr>
        <w:t> </w:t>
      </w:r>
      <w:r>
        <w:rPr/>
        <w:t>que</w:t>
      </w:r>
      <w:r>
        <w:rPr>
          <w:spacing w:val="-12"/>
        </w:rPr>
        <w:t> </w:t>
      </w:r>
      <w:r>
        <w:rPr/>
        <w:t>requeriam</w:t>
      </w:r>
      <w:r>
        <w:rPr>
          <w:spacing w:val="-12"/>
        </w:rPr>
        <w:t> </w:t>
      </w:r>
      <w:r>
        <w:rPr/>
        <w:t>entrevistas presenciais, o Cetic.br/NIC.br implementou um estudo piloto com usuários de Internet por meio de questionários </w:t>
      </w:r>
      <w:r>
        <w:rPr>
          <w:i/>
        </w:rPr>
        <w:t>on-line</w:t>
      </w:r>
      <w:r>
        <w:rPr/>
        <w:t>, de forma a acelerar o conhecimento a respeito de estratégias alternativas de coleta e obtenção de informação de qualidade sobre o acesso e uso das TIC durante a pandemia.</w:t>
      </w:r>
    </w:p>
    <w:p>
      <w:pPr>
        <w:pStyle w:val="BodyText"/>
        <w:spacing w:before="213"/>
      </w:pPr>
    </w:p>
    <w:p>
      <w:pPr>
        <w:pStyle w:val="Heading1"/>
        <w:numPr>
          <w:ilvl w:val="0"/>
          <w:numId w:val="1"/>
        </w:numPr>
        <w:tabs>
          <w:tab w:pos="319" w:val="left" w:leader="none"/>
        </w:tabs>
        <w:spacing w:line="240" w:lineRule="auto" w:before="1" w:after="0"/>
        <w:ind w:left="319" w:right="0" w:hanging="175"/>
        <w:jc w:val="left"/>
      </w:pPr>
      <w:r>
        <w:rPr/>
        <w:t>- OBJETIVOS DA </w:t>
      </w:r>
      <w:r>
        <w:rPr>
          <w:spacing w:val="-2"/>
        </w:rPr>
        <w:t>PESQUISA</w:t>
      </w:r>
    </w:p>
    <w:p>
      <w:pPr>
        <w:pStyle w:val="BodyText"/>
        <w:spacing w:line="276" w:lineRule="auto" w:before="281"/>
        <w:ind w:left="144" w:right="141"/>
        <w:jc w:val="both"/>
      </w:pPr>
      <w:r>
        <w:rPr/>
        <w:t>O</w:t>
      </w:r>
      <w:r>
        <w:rPr>
          <w:spacing w:val="-13"/>
        </w:rPr>
        <w:t> </w:t>
      </w:r>
      <w:r>
        <w:rPr/>
        <w:t>Painel</w:t>
      </w:r>
      <w:r>
        <w:rPr>
          <w:spacing w:val="-12"/>
        </w:rPr>
        <w:t> </w:t>
      </w:r>
      <w:r>
        <w:rPr/>
        <w:t>TIC</w:t>
      </w:r>
      <w:r>
        <w:rPr>
          <w:spacing w:val="-13"/>
        </w:rPr>
        <w:t> </w:t>
      </w:r>
      <w:r>
        <w:rPr/>
        <w:t>COVID-19</w:t>
      </w:r>
      <w:r>
        <w:rPr>
          <w:spacing w:val="-10"/>
        </w:rPr>
        <w:t> </w:t>
      </w:r>
      <w:r>
        <w:rPr/>
        <w:t>tem</w:t>
      </w:r>
      <w:r>
        <w:rPr>
          <w:spacing w:val="-12"/>
        </w:rPr>
        <w:t> </w:t>
      </w:r>
      <w:r>
        <w:rPr/>
        <w:t>como</w:t>
      </w:r>
      <w:r>
        <w:rPr>
          <w:spacing w:val="-8"/>
        </w:rPr>
        <w:t> </w:t>
      </w:r>
      <w:r>
        <w:rPr/>
        <w:t>objetivo</w:t>
      </w:r>
      <w:r>
        <w:rPr>
          <w:spacing w:val="-10"/>
        </w:rPr>
        <w:t> </w:t>
      </w:r>
      <w:r>
        <w:rPr/>
        <w:t>coletar</w:t>
      </w:r>
      <w:r>
        <w:rPr>
          <w:spacing w:val="-9"/>
        </w:rPr>
        <w:t> </w:t>
      </w:r>
      <w:r>
        <w:rPr/>
        <w:t>informações</w:t>
      </w:r>
      <w:r>
        <w:rPr>
          <w:spacing w:val="-10"/>
        </w:rPr>
        <w:t> </w:t>
      </w:r>
      <w:r>
        <w:rPr/>
        <w:t>sobre</w:t>
      </w:r>
      <w:r>
        <w:rPr>
          <w:spacing w:val="-10"/>
        </w:rPr>
        <w:t> </w:t>
      </w:r>
      <w:r>
        <w:rPr/>
        <w:t>o</w:t>
      </w:r>
      <w:r>
        <w:rPr>
          <w:spacing w:val="-12"/>
        </w:rPr>
        <w:t> </w:t>
      </w:r>
      <w:r>
        <w:rPr/>
        <w:t>uso</w:t>
      </w:r>
      <w:r>
        <w:rPr>
          <w:spacing w:val="-12"/>
        </w:rPr>
        <w:t> </w:t>
      </w:r>
      <w:r>
        <w:rPr/>
        <w:t>da</w:t>
      </w:r>
      <w:r>
        <w:rPr>
          <w:spacing w:val="-9"/>
        </w:rPr>
        <w:t> </w:t>
      </w:r>
      <w:r>
        <w:rPr/>
        <w:t>Internet</w:t>
      </w:r>
      <w:r>
        <w:rPr>
          <w:spacing w:val="-10"/>
        </w:rPr>
        <w:t> </w:t>
      </w:r>
      <w:r>
        <w:rPr/>
        <w:t>durante</w:t>
      </w:r>
      <w:r>
        <w:rPr>
          <w:spacing w:val="-6"/>
        </w:rPr>
        <w:t> </w:t>
      </w:r>
      <w:r>
        <w:rPr/>
        <w:t>a</w:t>
      </w:r>
      <w:r>
        <w:rPr>
          <w:spacing w:val="-13"/>
        </w:rPr>
        <w:t> </w:t>
      </w:r>
      <w:r>
        <w:rPr/>
        <w:t>pandemia</w:t>
      </w:r>
      <w:r>
        <w:rPr>
          <w:spacing w:val="-8"/>
        </w:rPr>
        <w:t> </w:t>
      </w:r>
      <w:r>
        <w:rPr/>
        <w:t>causada pelo novo coronavírus.</w:t>
      </w:r>
    </w:p>
    <w:p>
      <w:pPr>
        <w:pStyle w:val="BodyText"/>
        <w:spacing w:before="211"/>
      </w:pPr>
    </w:p>
    <w:p>
      <w:pPr>
        <w:pStyle w:val="Heading1"/>
        <w:numPr>
          <w:ilvl w:val="0"/>
          <w:numId w:val="1"/>
        </w:numPr>
        <w:tabs>
          <w:tab w:pos="319" w:val="left" w:leader="none"/>
        </w:tabs>
        <w:spacing w:line="240" w:lineRule="auto" w:before="0" w:after="0"/>
        <w:ind w:left="319" w:right="0" w:hanging="175"/>
        <w:jc w:val="left"/>
      </w:pPr>
      <w:r>
        <w:rPr/>
        <w:t>-</w:t>
      </w:r>
      <w:r>
        <w:rPr>
          <w:spacing w:val="-8"/>
        </w:rPr>
        <w:t> </w:t>
      </w:r>
      <w:r>
        <w:rPr/>
        <w:t>POPULAÇÃO-</w:t>
      </w:r>
      <w:r>
        <w:rPr>
          <w:spacing w:val="-4"/>
        </w:rPr>
        <w:t>ALVO</w:t>
      </w:r>
    </w:p>
    <w:p>
      <w:pPr>
        <w:pStyle w:val="BodyText"/>
        <w:spacing w:line="276" w:lineRule="auto" w:before="287"/>
        <w:ind w:left="144" w:right="140"/>
        <w:jc w:val="both"/>
      </w:pPr>
      <w:r>
        <w:rPr/>
        <w:t>A</w:t>
      </w:r>
      <w:r>
        <w:rPr>
          <w:spacing w:val="-13"/>
        </w:rPr>
        <w:t> </w:t>
      </w:r>
      <w:r>
        <w:rPr/>
        <w:t>população-alvo</w:t>
      </w:r>
      <w:r>
        <w:rPr>
          <w:spacing w:val="-12"/>
        </w:rPr>
        <w:t> </w:t>
      </w:r>
      <w:r>
        <w:rPr/>
        <w:t>da</w:t>
      </w:r>
      <w:r>
        <w:rPr>
          <w:spacing w:val="-13"/>
        </w:rPr>
        <w:t> </w:t>
      </w:r>
      <w:r>
        <w:rPr/>
        <w:t>pesquisa</w:t>
      </w:r>
      <w:r>
        <w:rPr>
          <w:spacing w:val="-12"/>
        </w:rPr>
        <w:t> </w:t>
      </w:r>
      <w:r>
        <w:rPr/>
        <w:t>é</w:t>
      </w:r>
      <w:r>
        <w:rPr>
          <w:spacing w:val="-13"/>
        </w:rPr>
        <w:t> </w:t>
      </w:r>
      <w:r>
        <w:rPr/>
        <w:t>composta</w:t>
      </w:r>
      <w:r>
        <w:rPr>
          <w:spacing w:val="-12"/>
        </w:rPr>
        <w:t> </w:t>
      </w:r>
      <w:r>
        <w:rPr/>
        <w:t>por</w:t>
      </w:r>
      <w:r>
        <w:rPr>
          <w:spacing w:val="-11"/>
        </w:rPr>
        <w:t> </w:t>
      </w:r>
      <w:r>
        <w:rPr/>
        <w:t>indivíduos</w:t>
      </w:r>
      <w:r>
        <w:rPr>
          <w:spacing w:val="-10"/>
        </w:rPr>
        <w:t> </w:t>
      </w:r>
      <w:r>
        <w:rPr/>
        <w:t>usuários</w:t>
      </w:r>
      <w:r>
        <w:rPr>
          <w:spacing w:val="-10"/>
        </w:rPr>
        <w:t> </w:t>
      </w:r>
      <w:r>
        <w:rPr/>
        <w:t>de</w:t>
      </w:r>
      <w:r>
        <w:rPr>
          <w:spacing w:val="-13"/>
        </w:rPr>
        <w:t> </w:t>
      </w:r>
      <w:r>
        <w:rPr/>
        <w:t>Internet</w:t>
      </w:r>
      <w:r>
        <w:rPr>
          <w:spacing w:val="-12"/>
        </w:rPr>
        <w:t> </w:t>
      </w:r>
      <w:r>
        <w:rPr/>
        <w:t>de</w:t>
      </w:r>
      <w:r>
        <w:rPr>
          <w:spacing w:val="-13"/>
        </w:rPr>
        <w:t> </w:t>
      </w:r>
      <w:r>
        <w:rPr/>
        <w:t>16</w:t>
      </w:r>
      <w:r>
        <w:rPr>
          <w:spacing w:val="-10"/>
        </w:rPr>
        <w:t> </w:t>
      </w:r>
      <w:r>
        <w:rPr/>
        <w:t>anos</w:t>
      </w:r>
      <w:r>
        <w:rPr>
          <w:spacing w:val="-10"/>
        </w:rPr>
        <w:t> </w:t>
      </w:r>
      <w:r>
        <w:rPr/>
        <w:t>ou</w:t>
      </w:r>
      <w:r>
        <w:rPr>
          <w:spacing w:val="-12"/>
        </w:rPr>
        <w:t> </w:t>
      </w:r>
      <w:r>
        <w:rPr/>
        <w:t>mais</w:t>
      </w:r>
      <w:r>
        <w:rPr>
          <w:spacing w:val="-10"/>
        </w:rPr>
        <w:t> </w:t>
      </w:r>
      <w:r>
        <w:rPr/>
        <w:t>de</w:t>
      </w:r>
      <w:r>
        <w:rPr>
          <w:spacing w:val="-13"/>
        </w:rPr>
        <w:t> </w:t>
      </w:r>
      <w:r>
        <w:rPr/>
        <w:t>idade</w:t>
      </w:r>
      <w:r>
        <w:rPr>
          <w:spacing w:val="-12"/>
        </w:rPr>
        <w:t> </w:t>
      </w:r>
      <w:r>
        <w:rPr/>
        <w:t>no</w:t>
      </w:r>
      <w:r>
        <w:rPr>
          <w:spacing w:val="-12"/>
        </w:rPr>
        <w:t> </w:t>
      </w:r>
      <w:r>
        <w:rPr/>
        <w:t>Brasil. São considerados usuários de Internet os indivíduos que fizeram uso da rede nos três meses que antecedem a entrevista, segundo recomendação metodológica da União Internacional de Telecomunicações (UIT, 2014).</w:t>
      </w:r>
    </w:p>
    <w:p>
      <w:pPr>
        <w:pStyle w:val="BodyText"/>
        <w:spacing w:before="210"/>
      </w:pPr>
    </w:p>
    <w:p>
      <w:pPr>
        <w:pStyle w:val="Heading1"/>
        <w:numPr>
          <w:ilvl w:val="0"/>
          <w:numId w:val="1"/>
        </w:numPr>
        <w:tabs>
          <w:tab w:pos="319" w:val="left" w:leader="none"/>
        </w:tabs>
        <w:spacing w:line="240" w:lineRule="auto" w:before="0" w:after="0"/>
        <w:ind w:left="319" w:right="0" w:hanging="175"/>
        <w:jc w:val="left"/>
      </w:pPr>
      <w:r>
        <w:rPr/>
        <w:t>-</w:t>
      </w:r>
      <w:r>
        <w:rPr>
          <w:spacing w:val="-2"/>
        </w:rPr>
        <w:t> </w:t>
      </w:r>
      <w:r>
        <w:rPr/>
        <w:t>UNIDADE</w:t>
      </w:r>
      <w:r>
        <w:rPr>
          <w:spacing w:val="-2"/>
        </w:rPr>
        <w:t> </w:t>
      </w:r>
      <w:r>
        <w:rPr/>
        <w:t>DE</w:t>
      </w:r>
      <w:r>
        <w:rPr>
          <w:spacing w:val="-2"/>
        </w:rPr>
        <w:t> </w:t>
      </w:r>
      <w:r>
        <w:rPr/>
        <w:t>ANÁLISE</w:t>
      </w:r>
      <w:r>
        <w:rPr>
          <w:spacing w:val="-2"/>
        </w:rPr>
        <w:t> </w:t>
      </w:r>
      <w:r>
        <w:rPr/>
        <w:t>E</w:t>
      </w:r>
      <w:r>
        <w:rPr>
          <w:spacing w:val="-1"/>
        </w:rPr>
        <w:t> </w:t>
      </w:r>
      <w:r>
        <w:rPr>
          <w:spacing w:val="-2"/>
        </w:rPr>
        <w:t>REFERÊNCIA</w:t>
      </w:r>
    </w:p>
    <w:p>
      <w:pPr>
        <w:pStyle w:val="BodyText"/>
        <w:spacing w:before="286"/>
        <w:ind w:left="144"/>
        <w:jc w:val="both"/>
      </w:pPr>
      <w:r>
        <w:rPr/>
        <w:t>Indivíduos</w:t>
      </w:r>
      <w:r>
        <w:rPr>
          <w:spacing w:val="3"/>
        </w:rPr>
        <w:t> </w:t>
      </w:r>
      <w:r>
        <w:rPr/>
        <w:t>usuários</w:t>
      </w:r>
      <w:r>
        <w:rPr>
          <w:spacing w:val="3"/>
        </w:rPr>
        <w:t> </w:t>
      </w:r>
      <w:r>
        <w:rPr/>
        <w:t>de</w:t>
      </w:r>
      <w:r>
        <w:rPr>
          <w:spacing w:val="1"/>
        </w:rPr>
        <w:t> </w:t>
      </w:r>
      <w:r>
        <w:rPr/>
        <w:t>Internet</w:t>
      </w:r>
      <w:r>
        <w:rPr>
          <w:spacing w:val="8"/>
        </w:rPr>
        <w:t> </w:t>
      </w:r>
      <w:r>
        <w:rPr>
          <w:color w:val="221F1F"/>
        </w:rPr>
        <w:t>com</w:t>
      </w:r>
      <w:r>
        <w:rPr>
          <w:color w:val="221F1F"/>
          <w:spacing w:val="12"/>
        </w:rPr>
        <w:t> </w:t>
      </w:r>
      <w:r>
        <w:rPr>
          <w:color w:val="221F1F"/>
        </w:rPr>
        <w:t>16</w:t>
      </w:r>
      <w:r>
        <w:rPr>
          <w:color w:val="221F1F"/>
          <w:spacing w:val="11"/>
        </w:rPr>
        <w:t> </w:t>
      </w:r>
      <w:r>
        <w:rPr>
          <w:color w:val="221F1F"/>
        </w:rPr>
        <w:t>anos</w:t>
      </w:r>
      <w:r>
        <w:rPr>
          <w:color w:val="221F1F"/>
          <w:spacing w:val="13"/>
        </w:rPr>
        <w:t> </w:t>
      </w:r>
      <w:r>
        <w:rPr>
          <w:color w:val="221F1F"/>
        </w:rPr>
        <w:t>ou</w:t>
      </w:r>
      <w:r>
        <w:rPr>
          <w:color w:val="221F1F"/>
          <w:spacing w:val="8"/>
        </w:rPr>
        <w:t> </w:t>
      </w:r>
      <w:r>
        <w:rPr>
          <w:color w:val="221F1F"/>
        </w:rPr>
        <w:t>mais</w:t>
      </w:r>
      <w:r>
        <w:rPr>
          <w:color w:val="221F1F"/>
          <w:spacing w:val="8"/>
        </w:rPr>
        <w:t> </w:t>
      </w:r>
      <w:r>
        <w:rPr>
          <w:color w:val="221F1F"/>
        </w:rPr>
        <w:t>de</w:t>
      </w:r>
      <w:r>
        <w:rPr>
          <w:color w:val="221F1F"/>
          <w:spacing w:val="5"/>
        </w:rPr>
        <w:t> </w:t>
      </w:r>
      <w:r>
        <w:rPr>
          <w:color w:val="221F1F"/>
          <w:spacing w:val="-2"/>
        </w:rPr>
        <w:t>idade</w:t>
      </w:r>
      <w:r>
        <w:rPr>
          <w:spacing w:val="-2"/>
        </w:rPr>
        <w:t>.</w:t>
      </w:r>
    </w:p>
    <w:p>
      <w:pPr>
        <w:pStyle w:val="BodyText"/>
        <w:spacing w:after="0"/>
        <w:jc w:val="both"/>
        <w:sectPr>
          <w:headerReference w:type="default" r:id="rId5"/>
          <w:footerReference w:type="default" r:id="rId6"/>
          <w:type w:val="continuous"/>
          <w:pgSz w:w="11910" w:h="16840"/>
          <w:pgMar w:header="737" w:footer="1652" w:top="2180" w:bottom="1840" w:left="708" w:right="708"/>
          <w:pgNumType w:start="1"/>
        </w:sectPr>
      </w:pPr>
    </w:p>
    <w:p>
      <w:pPr>
        <w:pStyle w:val="BodyText"/>
        <w:rPr>
          <w:sz w:val="24"/>
        </w:rPr>
      </w:pPr>
    </w:p>
    <w:p>
      <w:pPr>
        <w:pStyle w:val="BodyText"/>
        <w:spacing w:before="195"/>
        <w:rPr>
          <w:sz w:val="24"/>
        </w:rPr>
      </w:pPr>
    </w:p>
    <w:p>
      <w:pPr>
        <w:pStyle w:val="Heading1"/>
        <w:numPr>
          <w:ilvl w:val="0"/>
          <w:numId w:val="1"/>
        </w:numPr>
        <w:tabs>
          <w:tab w:pos="319" w:val="left" w:leader="none"/>
        </w:tabs>
        <w:spacing w:line="240" w:lineRule="auto" w:before="0" w:after="0"/>
        <w:ind w:left="319" w:right="0" w:hanging="175"/>
        <w:jc w:val="both"/>
      </w:pPr>
      <w:r>
        <w:rPr/>
        <w:t>-</w:t>
      </w:r>
      <w:r>
        <w:rPr>
          <w:spacing w:val="-3"/>
        </w:rPr>
        <w:t> </w:t>
      </w:r>
      <w:r>
        <w:rPr/>
        <w:t>DOMÍNIOS</w:t>
      </w:r>
      <w:r>
        <w:rPr>
          <w:spacing w:val="-2"/>
        </w:rPr>
        <w:t> </w:t>
      </w:r>
      <w:r>
        <w:rPr/>
        <w:t>DE</w:t>
      </w:r>
      <w:r>
        <w:rPr>
          <w:spacing w:val="-6"/>
        </w:rPr>
        <w:t> </w:t>
      </w:r>
      <w:r>
        <w:rPr/>
        <w:t>INTERESSE</w:t>
      </w:r>
      <w:r>
        <w:rPr>
          <w:spacing w:val="-3"/>
        </w:rPr>
        <w:t> </w:t>
      </w:r>
      <w:r>
        <w:rPr/>
        <w:t>PARA</w:t>
      </w:r>
      <w:r>
        <w:rPr>
          <w:spacing w:val="-2"/>
        </w:rPr>
        <w:t> </w:t>
      </w:r>
      <w:r>
        <w:rPr/>
        <w:t>ANÁLISE</w:t>
      </w:r>
      <w:r>
        <w:rPr>
          <w:spacing w:val="-2"/>
        </w:rPr>
        <w:t> </w:t>
      </w:r>
      <w:r>
        <w:rPr/>
        <w:t>E</w:t>
      </w:r>
      <w:r>
        <w:rPr>
          <w:spacing w:val="-2"/>
        </w:rPr>
        <w:t> DIVULGAÇÃO</w:t>
      </w:r>
    </w:p>
    <w:p>
      <w:pPr>
        <w:pStyle w:val="BodyText"/>
        <w:spacing w:line="278" w:lineRule="auto" w:before="283"/>
        <w:ind w:left="144" w:right="138"/>
        <w:jc w:val="both"/>
      </w:pPr>
      <w:r>
        <w:rPr/>
        <w:t>Para as unidades de análise e referência, os resultados são divulgados para domínios definidos com base nas variáveis e níveis descritos a seguir.</w:t>
      </w:r>
    </w:p>
    <w:p>
      <w:pPr>
        <w:pStyle w:val="ListParagraph"/>
        <w:numPr>
          <w:ilvl w:val="0"/>
          <w:numId w:val="2"/>
        </w:numPr>
        <w:tabs>
          <w:tab w:pos="299" w:val="left" w:leader="none"/>
        </w:tabs>
        <w:spacing w:line="240" w:lineRule="auto" w:before="237" w:after="0"/>
        <w:ind w:left="299" w:right="0" w:hanging="155"/>
        <w:jc w:val="left"/>
        <w:rPr>
          <w:sz w:val="22"/>
        </w:rPr>
      </w:pPr>
      <w:r>
        <w:rPr>
          <w:b/>
          <w:sz w:val="22"/>
        </w:rPr>
        <w:t>Sexo:</w:t>
      </w:r>
      <w:r>
        <w:rPr>
          <w:b/>
          <w:spacing w:val="-3"/>
          <w:sz w:val="22"/>
        </w:rPr>
        <w:t> </w:t>
      </w:r>
      <w:r>
        <w:rPr>
          <w:sz w:val="22"/>
        </w:rPr>
        <w:t>Corresponde</w:t>
      </w:r>
      <w:r>
        <w:rPr>
          <w:spacing w:val="-4"/>
          <w:sz w:val="22"/>
        </w:rPr>
        <w:t> </w:t>
      </w:r>
      <w:r>
        <w:rPr>
          <w:sz w:val="22"/>
        </w:rPr>
        <w:t>à</w:t>
      </w:r>
      <w:r>
        <w:rPr>
          <w:spacing w:val="-1"/>
          <w:sz w:val="22"/>
        </w:rPr>
        <w:t> </w:t>
      </w:r>
      <w:r>
        <w:rPr>
          <w:sz w:val="22"/>
        </w:rPr>
        <w:t>divisão</w:t>
      </w:r>
      <w:r>
        <w:rPr>
          <w:spacing w:val="-3"/>
          <w:sz w:val="22"/>
        </w:rPr>
        <w:t> </w:t>
      </w:r>
      <w:r>
        <w:rPr>
          <w:sz w:val="22"/>
        </w:rPr>
        <w:t>em</w:t>
      </w:r>
      <w:r>
        <w:rPr>
          <w:spacing w:val="-1"/>
          <w:sz w:val="22"/>
        </w:rPr>
        <w:t> </w:t>
      </w:r>
      <w:r>
        <w:rPr>
          <w:sz w:val="22"/>
        </w:rPr>
        <w:t>Masculino</w:t>
      </w:r>
      <w:r>
        <w:rPr>
          <w:spacing w:val="-2"/>
          <w:sz w:val="22"/>
        </w:rPr>
        <w:t> </w:t>
      </w:r>
      <w:r>
        <w:rPr>
          <w:sz w:val="22"/>
        </w:rPr>
        <w:t>e</w:t>
      </w:r>
      <w:r>
        <w:rPr>
          <w:spacing w:val="-4"/>
          <w:sz w:val="22"/>
        </w:rPr>
        <w:t> </w:t>
      </w:r>
      <w:r>
        <w:rPr>
          <w:spacing w:val="-2"/>
          <w:sz w:val="22"/>
        </w:rPr>
        <w:t>Feminino;</w:t>
      </w:r>
    </w:p>
    <w:p>
      <w:pPr>
        <w:pStyle w:val="BodyText"/>
        <w:spacing w:before="10"/>
      </w:pPr>
    </w:p>
    <w:p>
      <w:pPr>
        <w:pStyle w:val="ListParagraph"/>
        <w:numPr>
          <w:ilvl w:val="0"/>
          <w:numId w:val="2"/>
        </w:numPr>
        <w:tabs>
          <w:tab w:pos="299" w:val="left" w:leader="none"/>
        </w:tabs>
        <w:spacing w:line="240" w:lineRule="auto" w:before="0" w:after="0"/>
        <w:ind w:left="299" w:right="0" w:hanging="155"/>
        <w:jc w:val="left"/>
        <w:rPr>
          <w:sz w:val="22"/>
        </w:rPr>
      </w:pPr>
      <w:r>
        <w:rPr>
          <w:b/>
          <w:sz w:val="22"/>
        </w:rPr>
        <w:t>Grau</w:t>
      </w:r>
      <w:r>
        <w:rPr>
          <w:b/>
          <w:spacing w:val="-5"/>
          <w:sz w:val="22"/>
        </w:rPr>
        <w:t> </w:t>
      </w:r>
      <w:r>
        <w:rPr>
          <w:b/>
          <w:sz w:val="22"/>
        </w:rPr>
        <w:t>de</w:t>
      </w:r>
      <w:r>
        <w:rPr>
          <w:b/>
          <w:spacing w:val="-2"/>
          <w:sz w:val="22"/>
        </w:rPr>
        <w:t> </w:t>
      </w:r>
      <w:r>
        <w:rPr>
          <w:b/>
          <w:sz w:val="22"/>
        </w:rPr>
        <w:t>instrução:</w:t>
      </w:r>
      <w:r>
        <w:rPr>
          <w:b/>
          <w:spacing w:val="-1"/>
          <w:sz w:val="22"/>
        </w:rPr>
        <w:t> </w:t>
      </w:r>
      <w:r>
        <w:rPr>
          <w:sz w:val="22"/>
        </w:rPr>
        <w:t>Corresponde</w:t>
      </w:r>
      <w:r>
        <w:rPr>
          <w:spacing w:val="-4"/>
          <w:sz w:val="22"/>
        </w:rPr>
        <w:t> </w:t>
      </w:r>
      <w:r>
        <w:rPr>
          <w:sz w:val="22"/>
        </w:rPr>
        <w:t>à</w:t>
      </w:r>
      <w:r>
        <w:rPr>
          <w:spacing w:val="-5"/>
          <w:sz w:val="22"/>
        </w:rPr>
        <w:t> </w:t>
      </w:r>
      <w:r>
        <w:rPr>
          <w:sz w:val="22"/>
        </w:rPr>
        <w:t>divisão</w:t>
      </w:r>
      <w:r>
        <w:rPr>
          <w:spacing w:val="-3"/>
          <w:sz w:val="22"/>
        </w:rPr>
        <w:t> </w:t>
      </w:r>
      <w:r>
        <w:rPr>
          <w:sz w:val="22"/>
        </w:rPr>
        <w:t>em</w:t>
      </w:r>
      <w:r>
        <w:rPr>
          <w:spacing w:val="-2"/>
          <w:sz w:val="22"/>
        </w:rPr>
        <w:t> </w:t>
      </w:r>
      <w:r>
        <w:rPr>
          <w:sz w:val="22"/>
        </w:rPr>
        <w:t>Ensino</w:t>
      </w:r>
      <w:r>
        <w:rPr>
          <w:spacing w:val="-3"/>
          <w:sz w:val="22"/>
        </w:rPr>
        <w:t> </w:t>
      </w:r>
      <w:r>
        <w:rPr>
          <w:sz w:val="22"/>
        </w:rPr>
        <w:t>Fundamental,</w:t>
      </w:r>
      <w:r>
        <w:rPr>
          <w:spacing w:val="-2"/>
          <w:sz w:val="22"/>
        </w:rPr>
        <w:t> </w:t>
      </w:r>
      <w:r>
        <w:rPr>
          <w:sz w:val="22"/>
        </w:rPr>
        <w:t>Ensino</w:t>
      </w:r>
      <w:r>
        <w:rPr>
          <w:spacing w:val="-3"/>
          <w:sz w:val="22"/>
        </w:rPr>
        <w:t> </w:t>
      </w:r>
      <w:r>
        <w:rPr>
          <w:sz w:val="22"/>
        </w:rPr>
        <w:t>Médio</w:t>
      </w:r>
      <w:r>
        <w:rPr>
          <w:spacing w:val="-2"/>
          <w:sz w:val="22"/>
        </w:rPr>
        <w:t> </w:t>
      </w:r>
      <w:r>
        <w:rPr>
          <w:sz w:val="22"/>
        </w:rPr>
        <w:t>e</w:t>
      </w:r>
      <w:r>
        <w:rPr>
          <w:spacing w:val="-4"/>
          <w:sz w:val="22"/>
        </w:rPr>
        <w:t> </w:t>
      </w:r>
      <w:r>
        <w:rPr>
          <w:sz w:val="22"/>
        </w:rPr>
        <w:t>Ensino</w:t>
      </w:r>
      <w:r>
        <w:rPr>
          <w:spacing w:val="-3"/>
          <w:sz w:val="22"/>
        </w:rPr>
        <w:t> </w:t>
      </w:r>
      <w:r>
        <w:rPr>
          <w:spacing w:val="-2"/>
          <w:sz w:val="22"/>
        </w:rPr>
        <w:t>Superior;</w:t>
      </w:r>
    </w:p>
    <w:p>
      <w:pPr>
        <w:pStyle w:val="BodyText"/>
        <w:spacing w:before="12"/>
      </w:pPr>
    </w:p>
    <w:p>
      <w:pPr>
        <w:pStyle w:val="ListParagraph"/>
        <w:numPr>
          <w:ilvl w:val="0"/>
          <w:numId w:val="2"/>
        </w:numPr>
        <w:tabs>
          <w:tab w:pos="299" w:val="left" w:leader="none"/>
        </w:tabs>
        <w:spacing w:line="278" w:lineRule="auto" w:before="0" w:after="0"/>
        <w:ind w:left="144" w:right="138" w:firstLine="0"/>
        <w:jc w:val="left"/>
        <w:rPr>
          <w:sz w:val="22"/>
        </w:rPr>
      </w:pPr>
      <w:r>
        <w:rPr>
          <w:b/>
          <w:sz w:val="22"/>
        </w:rPr>
        <w:t>Faixa etária:</w:t>
      </w:r>
      <w:r>
        <w:rPr>
          <w:b/>
          <w:spacing w:val="-2"/>
          <w:sz w:val="22"/>
        </w:rPr>
        <w:t> </w:t>
      </w:r>
      <w:r>
        <w:rPr>
          <w:sz w:val="22"/>
        </w:rPr>
        <w:t>Corresponde</w:t>
      </w:r>
      <w:r>
        <w:rPr>
          <w:spacing w:val="-3"/>
          <w:sz w:val="22"/>
        </w:rPr>
        <w:t> </w:t>
      </w:r>
      <w:r>
        <w:rPr>
          <w:sz w:val="22"/>
        </w:rPr>
        <w:t>à divisão</w:t>
      </w:r>
      <w:r>
        <w:rPr>
          <w:spacing w:val="-2"/>
          <w:sz w:val="22"/>
        </w:rPr>
        <w:t> </w:t>
      </w:r>
      <w:r>
        <w:rPr>
          <w:sz w:val="22"/>
        </w:rPr>
        <w:t>das</w:t>
      </w:r>
      <w:r>
        <w:rPr>
          <w:spacing w:val="-1"/>
          <w:sz w:val="22"/>
        </w:rPr>
        <w:t> </w:t>
      </w:r>
      <w:r>
        <w:rPr>
          <w:sz w:val="22"/>
        </w:rPr>
        <w:t>faixas de</w:t>
      </w:r>
      <w:r>
        <w:rPr>
          <w:spacing w:val="-3"/>
          <w:sz w:val="22"/>
        </w:rPr>
        <w:t> </w:t>
      </w:r>
      <w:r>
        <w:rPr>
          <w:sz w:val="22"/>
        </w:rPr>
        <w:t>16 a 24</w:t>
      </w:r>
      <w:r>
        <w:rPr>
          <w:spacing w:val="-2"/>
          <w:sz w:val="22"/>
        </w:rPr>
        <w:t> </w:t>
      </w:r>
      <w:r>
        <w:rPr>
          <w:sz w:val="22"/>
        </w:rPr>
        <w:t>anos,</w:t>
      </w:r>
      <w:r>
        <w:rPr>
          <w:spacing w:val="-1"/>
          <w:sz w:val="22"/>
        </w:rPr>
        <w:t> </w:t>
      </w:r>
      <w:r>
        <w:rPr>
          <w:sz w:val="22"/>
        </w:rPr>
        <w:t>de 25 a</w:t>
      </w:r>
      <w:r>
        <w:rPr>
          <w:spacing w:val="-4"/>
          <w:sz w:val="22"/>
        </w:rPr>
        <w:t> </w:t>
      </w:r>
      <w:r>
        <w:rPr>
          <w:sz w:val="22"/>
        </w:rPr>
        <w:t>34 anos,</w:t>
      </w:r>
      <w:r>
        <w:rPr>
          <w:spacing w:val="-1"/>
          <w:sz w:val="22"/>
        </w:rPr>
        <w:t> </w:t>
      </w:r>
      <w:r>
        <w:rPr>
          <w:sz w:val="22"/>
        </w:rPr>
        <w:t>de 35 a</w:t>
      </w:r>
      <w:r>
        <w:rPr>
          <w:spacing w:val="-4"/>
          <w:sz w:val="22"/>
        </w:rPr>
        <w:t> </w:t>
      </w:r>
      <w:r>
        <w:rPr>
          <w:sz w:val="22"/>
        </w:rPr>
        <w:t>44</w:t>
      </w:r>
      <w:r>
        <w:rPr>
          <w:spacing w:val="-2"/>
          <w:sz w:val="22"/>
        </w:rPr>
        <w:t> </w:t>
      </w:r>
      <w:r>
        <w:rPr>
          <w:sz w:val="22"/>
        </w:rPr>
        <w:t>anos,</w:t>
      </w:r>
      <w:r>
        <w:rPr>
          <w:spacing w:val="-1"/>
          <w:sz w:val="22"/>
        </w:rPr>
        <w:t> </w:t>
      </w:r>
      <w:r>
        <w:rPr>
          <w:sz w:val="22"/>
        </w:rPr>
        <w:t>de</w:t>
      </w:r>
      <w:r>
        <w:rPr>
          <w:spacing w:val="-3"/>
          <w:sz w:val="22"/>
        </w:rPr>
        <w:t> </w:t>
      </w:r>
      <w:r>
        <w:rPr>
          <w:sz w:val="22"/>
        </w:rPr>
        <w:t>45 a 59 anos e de 60 anos ou mais;</w:t>
      </w:r>
    </w:p>
    <w:p>
      <w:pPr>
        <w:pStyle w:val="ListParagraph"/>
        <w:numPr>
          <w:ilvl w:val="0"/>
          <w:numId w:val="2"/>
        </w:numPr>
        <w:tabs>
          <w:tab w:pos="299" w:val="left" w:leader="none"/>
        </w:tabs>
        <w:spacing w:line="276" w:lineRule="auto" w:before="237" w:after="0"/>
        <w:ind w:left="144" w:right="139" w:firstLine="0"/>
        <w:jc w:val="left"/>
        <w:rPr>
          <w:sz w:val="22"/>
        </w:rPr>
      </w:pPr>
      <w:r>
        <w:rPr>
          <w:b/>
          <w:sz w:val="22"/>
        </w:rPr>
        <w:t>Região:</w:t>
      </w:r>
      <w:r>
        <w:rPr>
          <w:b/>
          <w:spacing w:val="-4"/>
          <w:sz w:val="22"/>
        </w:rPr>
        <w:t> </w:t>
      </w:r>
      <w:r>
        <w:rPr>
          <w:sz w:val="22"/>
        </w:rPr>
        <w:t>Corresponde</w:t>
      </w:r>
      <w:r>
        <w:rPr>
          <w:spacing w:val="-2"/>
          <w:sz w:val="22"/>
        </w:rPr>
        <w:t> </w:t>
      </w:r>
      <w:r>
        <w:rPr>
          <w:sz w:val="22"/>
        </w:rPr>
        <w:t>à</w:t>
      </w:r>
      <w:r>
        <w:rPr>
          <w:spacing w:val="-2"/>
          <w:sz w:val="22"/>
        </w:rPr>
        <w:t> </w:t>
      </w:r>
      <w:r>
        <w:rPr>
          <w:sz w:val="22"/>
        </w:rPr>
        <w:t>divisão</w:t>
      </w:r>
      <w:r>
        <w:rPr>
          <w:spacing w:val="-4"/>
          <w:sz w:val="22"/>
        </w:rPr>
        <w:t> </w:t>
      </w:r>
      <w:r>
        <w:rPr>
          <w:sz w:val="22"/>
        </w:rPr>
        <w:t>regional</w:t>
      </w:r>
      <w:r>
        <w:rPr>
          <w:spacing w:val="-3"/>
          <w:sz w:val="22"/>
        </w:rPr>
        <w:t> </w:t>
      </w:r>
      <w:r>
        <w:rPr>
          <w:sz w:val="22"/>
        </w:rPr>
        <w:t>do Brasil,</w:t>
      </w:r>
      <w:r>
        <w:rPr>
          <w:spacing w:val="-3"/>
          <w:sz w:val="22"/>
        </w:rPr>
        <w:t> </w:t>
      </w:r>
      <w:r>
        <w:rPr>
          <w:sz w:val="22"/>
        </w:rPr>
        <w:t>segundo</w:t>
      </w:r>
      <w:r>
        <w:rPr>
          <w:spacing w:val="-4"/>
          <w:sz w:val="22"/>
        </w:rPr>
        <w:t> </w:t>
      </w:r>
      <w:r>
        <w:rPr>
          <w:sz w:val="22"/>
        </w:rPr>
        <w:t>critérios</w:t>
      </w:r>
      <w:r>
        <w:rPr>
          <w:spacing w:val="-3"/>
          <w:sz w:val="22"/>
        </w:rPr>
        <w:t> </w:t>
      </w:r>
      <w:r>
        <w:rPr>
          <w:sz w:val="22"/>
        </w:rPr>
        <w:t>do IBGE,</w:t>
      </w:r>
      <w:r>
        <w:rPr>
          <w:spacing w:val="-3"/>
          <w:sz w:val="22"/>
        </w:rPr>
        <w:t> </w:t>
      </w:r>
      <w:r>
        <w:rPr>
          <w:sz w:val="22"/>
        </w:rPr>
        <w:t>nas</w:t>
      </w:r>
      <w:r>
        <w:rPr>
          <w:spacing w:val="-3"/>
          <w:sz w:val="22"/>
        </w:rPr>
        <w:t> </w:t>
      </w:r>
      <w:r>
        <w:rPr>
          <w:sz w:val="22"/>
        </w:rPr>
        <w:t>macrorregiões Norte, Nordeste, Sudeste, Sul e Centro-Oeste;</w:t>
      </w:r>
    </w:p>
    <w:p>
      <w:pPr>
        <w:pStyle w:val="ListParagraph"/>
        <w:numPr>
          <w:ilvl w:val="0"/>
          <w:numId w:val="2"/>
        </w:numPr>
        <w:tabs>
          <w:tab w:pos="295" w:val="left" w:leader="none"/>
        </w:tabs>
        <w:spacing w:line="276" w:lineRule="auto" w:before="238" w:after="0"/>
        <w:ind w:left="144" w:right="148" w:firstLine="0"/>
        <w:jc w:val="left"/>
        <w:rPr>
          <w:sz w:val="22"/>
        </w:rPr>
      </w:pPr>
      <w:r>
        <w:rPr>
          <w:b/>
          <w:sz w:val="22"/>
        </w:rPr>
        <w:t>Classe</w:t>
      </w:r>
      <w:r>
        <w:rPr>
          <w:b/>
          <w:spacing w:val="-6"/>
          <w:sz w:val="22"/>
        </w:rPr>
        <w:t> </w:t>
      </w:r>
      <w:r>
        <w:rPr>
          <w:b/>
          <w:sz w:val="22"/>
        </w:rPr>
        <w:t>social:</w:t>
      </w:r>
      <w:r>
        <w:rPr>
          <w:b/>
          <w:spacing w:val="-7"/>
          <w:sz w:val="22"/>
        </w:rPr>
        <w:t> </w:t>
      </w:r>
      <w:r>
        <w:rPr>
          <w:sz w:val="22"/>
        </w:rPr>
        <w:t>Corresponde</w:t>
      </w:r>
      <w:r>
        <w:rPr>
          <w:spacing w:val="-8"/>
          <w:sz w:val="22"/>
        </w:rPr>
        <w:t> </w:t>
      </w:r>
      <w:r>
        <w:rPr>
          <w:sz w:val="22"/>
        </w:rPr>
        <w:t>à</w:t>
      </w:r>
      <w:r>
        <w:rPr>
          <w:spacing w:val="-5"/>
          <w:sz w:val="22"/>
        </w:rPr>
        <w:t> </w:t>
      </w:r>
      <w:r>
        <w:rPr>
          <w:sz w:val="22"/>
        </w:rPr>
        <w:t>divisão</w:t>
      </w:r>
      <w:r>
        <w:rPr>
          <w:spacing w:val="-7"/>
          <w:sz w:val="22"/>
        </w:rPr>
        <w:t> </w:t>
      </w:r>
      <w:r>
        <w:rPr>
          <w:sz w:val="22"/>
        </w:rPr>
        <w:t>em</w:t>
      </w:r>
      <w:r>
        <w:rPr>
          <w:spacing w:val="-1"/>
          <w:sz w:val="22"/>
        </w:rPr>
        <w:t> </w:t>
      </w:r>
      <w:r>
        <w:rPr>
          <w:sz w:val="22"/>
        </w:rPr>
        <w:t>AB,</w:t>
      </w:r>
      <w:r>
        <w:rPr>
          <w:spacing w:val="-6"/>
          <w:sz w:val="22"/>
        </w:rPr>
        <w:t> </w:t>
      </w:r>
      <w:r>
        <w:rPr>
          <w:sz w:val="22"/>
        </w:rPr>
        <w:t>C</w:t>
      </w:r>
      <w:r>
        <w:rPr>
          <w:spacing w:val="-5"/>
          <w:sz w:val="22"/>
        </w:rPr>
        <w:t> </w:t>
      </w:r>
      <w:r>
        <w:rPr>
          <w:sz w:val="22"/>
        </w:rPr>
        <w:t>e</w:t>
      </w:r>
      <w:r>
        <w:rPr>
          <w:spacing w:val="-5"/>
          <w:sz w:val="22"/>
        </w:rPr>
        <w:t> </w:t>
      </w:r>
      <w:r>
        <w:rPr>
          <w:sz w:val="22"/>
        </w:rPr>
        <w:t>DE,</w:t>
      </w:r>
      <w:r>
        <w:rPr>
          <w:spacing w:val="-6"/>
          <w:sz w:val="22"/>
        </w:rPr>
        <w:t> </w:t>
      </w:r>
      <w:r>
        <w:rPr>
          <w:sz w:val="22"/>
        </w:rPr>
        <w:t>conforme</w:t>
      </w:r>
      <w:r>
        <w:rPr>
          <w:spacing w:val="-5"/>
          <w:sz w:val="22"/>
        </w:rPr>
        <w:t> </w:t>
      </w:r>
      <w:r>
        <w:rPr>
          <w:sz w:val="22"/>
        </w:rPr>
        <w:t>o</w:t>
      </w:r>
      <w:r>
        <w:rPr>
          <w:spacing w:val="-4"/>
          <w:sz w:val="22"/>
        </w:rPr>
        <w:t> </w:t>
      </w:r>
      <w:r>
        <w:rPr>
          <w:sz w:val="22"/>
        </w:rPr>
        <w:t>Critério</w:t>
      </w:r>
      <w:r>
        <w:rPr>
          <w:spacing w:val="-7"/>
          <w:sz w:val="22"/>
        </w:rPr>
        <w:t> </w:t>
      </w:r>
      <w:r>
        <w:rPr>
          <w:sz w:val="22"/>
        </w:rPr>
        <w:t>de</w:t>
      </w:r>
      <w:r>
        <w:rPr>
          <w:spacing w:val="-4"/>
          <w:sz w:val="22"/>
        </w:rPr>
        <w:t> </w:t>
      </w:r>
      <w:r>
        <w:rPr>
          <w:sz w:val="22"/>
        </w:rPr>
        <w:t>Classificação</w:t>
      </w:r>
      <w:r>
        <w:rPr>
          <w:spacing w:val="-7"/>
          <w:sz w:val="22"/>
        </w:rPr>
        <w:t> </w:t>
      </w:r>
      <w:r>
        <w:rPr>
          <w:sz w:val="22"/>
        </w:rPr>
        <w:t>Econômica</w:t>
      </w:r>
      <w:r>
        <w:rPr>
          <w:spacing w:val="-9"/>
          <w:sz w:val="22"/>
        </w:rPr>
        <w:t> </w:t>
      </w:r>
      <w:r>
        <w:rPr>
          <w:sz w:val="22"/>
        </w:rPr>
        <w:t>Brasil</w:t>
      </w:r>
      <w:r>
        <w:rPr>
          <w:spacing w:val="-6"/>
          <w:sz w:val="22"/>
        </w:rPr>
        <w:t> </w:t>
      </w:r>
      <w:r>
        <w:rPr>
          <w:sz w:val="22"/>
        </w:rPr>
        <w:t>(CCEB), da Associação Brasileira de Empresas de Pesquisa (Abep).</w:t>
      </w:r>
      <w:r>
        <w:rPr>
          <w:sz w:val="22"/>
          <w:vertAlign w:val="superscript"/>
        </w:rPr>
        <w:t>1</w:t>
      </w:r>
    </w:p>
    <w:p>
      <w:pPr>
        <w:pStyle w:val="BodyText"/>
        <w:spacing w:before="215"/>
      </w:pPr>
    </w:p>
    <w:p>
      <w:pPr>
        <w:pStyle w:val="Heading1"/>
        <w:numPr>
          <w:ilvl w:val="0"/>
          <w:numId w:val="1"/>
        </w:numPr>
        <w:tabs>
          <w:tab w:pos="319" w:val="left" w:leader="none"/>
        </w:tabs>
        <w:spacing w:line="240" w:lineRule="auto" w:before="0" w:after="0"/>
        <w:ind w:left="319" w:right="0" w:hanging="175"/>
        <w:jc w:val="both"/>
      </w:pPr>
      <w:r>
        <w:rPr/>
        <w:t>-</w:t>
      </w:r>
      <w:r>
        <w:rPr>
          <w:spacing w:val="-2"/>
        </w:rPr>
        <w:t> </w:t>
      </w:r>
      <w:r>
        <w:rPr/>
        <w:t>INSTRUMENTOS</w:t>
      </w:r>
      <w:r>
        <w:rPr>
          <w:spacing w:val="-1"/>
        </w:rPr>
        <w:t> </w:t>
      </w:r>
      <w:r>
        <w:rPr/>
        <w:t>DE</w:t>
      </w:r>
      <w:r>
        <w:rPr>
          <w:spacing w:val="-5"/>
        </w:rPr>
        <w:t> </w:t>
      </w:r>
      <w:r>
        <w:rPr>
          <w:spacing w:val="-2"/>
        </w:rPr>
        <w:t>COLETA</w:t>
      </w:r>
    </w:p>
    <w:p>
      <w:pPr>
        <w:pStyle w:val="BodyText"/>
        <w:spacing w:before="109"/>
        <w:rPr>
          <w:b/>
          <w:sz w:val="24"/>
        </w:rPr>
      </w:pPr>
    </w:p>
    <w:p>
      <w:pPr>
        <w:pStyle w:val="Heading2"/>
        <w:numPr>
          <w:ilvl w:val="1"/>
          <w:numId w:val="1"/>
        </w:numPr>
        <w:tabs>
          <w:tab w:pos="474" w:val="left" w:leader="none"/>
        </w:tabs>
        <w:spacing w:line="240" w:lineRule="auto" w:before="0" w:after="0"/>
        <w:ind w:left="474" w:right="0" w:hanging="330"/>
        <w:jc w:val="left"/>
      </w:pPr>
      <w:r>
        <w:rPr/>
        <w:t>-</w:t>
      </w:r>
      <w:r>
        <w:rPr>
          <w:spacing w:val="-3"/>
        </w:rPr>
        <w:t> </w:t>
      </w:r>
      <w:r>
        <w:rPr/>
        <w:t>INFORMAÇÕES</w:t>
      </w:r>
      <w:r>
        <w:rPr>
          <w:spacing w:val="-3"/>
        </w:rPr>
        <w:t> </w:t>
      </w:r>
      <w:r>
        <w:rPr/>
        <w:t>SOBRE</w:t>
      </w:r>
      <w:r>
        <w:rPr>
          <w:spacing w:val="-2"/>
        </w:rPr>
        <w:t> </w:t>
      </w:r>
      <w:r>
        <w:rPr/>
        <w:t>OS</w:t>
      </w:r>
      <w:r>
        <w:rPr>
          <w:spacing w:val="-2"/>
        </w:rPr>
        <w:t> </w:t>
      </w:r>
      <w:r>
        <w:rPr/>
        <w:t>INSTRUMENTOS</w:t>
      </w:r>
      <w:r>
        <w:rPr>
          <w:spacing w:val="-2"/>
        </w:rPr>
        <w:t> </w:t>
      </w:r>
      <w:r>
        <w:rPr/>
        <w:t>DE</w:t>
      </w:r>
      <w:r>
        <w:rPr>
          <w:spacing w:val="-1"/>
        </w:rPr>
        <w:t> </w:t>
      </w:r>
      <w:r>
        <w:rPr>
          <w:spacing w:val="-2"/>
        </w:rPr>
        <w:t>COLETA</w:t>
      </w:r>
    </w:p>
    <w:p>
      <w:pPr>
        <w:pStyle w:val="BodyText"/>
        <w:spacing w:before="11"/>
        <w:rPr>
          <w:b/>
        </w:rPr>
      </w:pPr>
    </w:p>
    <w:p>
      <w:pPr>
        <w:pStyle w:val="BodyText"/>
        <w:spacing w:line="276" w:lineRule="auto"/>
        <w:ind w:left="144" w:right="139"/>
        <w:jc w:val="both"/>
      </w:pPr>
      <w:r>
        <w:rPr/>
        <w:t>Os dados foram coletados por meio de questionários estruturados, com perguntas fechadas e respostas predefinidas (respostas únicas ou múltiplas).</w:t>
      </w:r>
      <w:r>
        <w:rPr>
          <w:spacing w:val="40"/>
        </w:rPr>
        <w:t> </w:t>
      </w:r>
      <w:r>
        <w:rPr/>
        <w:t>Foram utilizados dois instrumentos para coleta dos dados que continham as mesmas perguntas: questionário </w:t>
      </w:r>
      <w:r>
        <w:rPr>
          <w:i/>
        </w:rPr>
        <w:t>web </w:t>
      </w:r>
      <w:r>
        <w:rPr/>
        <w:t>e questionário pelo telefone – CATI (do inglês, </w:t>
      </w:r>
      <w:r>
        <w:rPr>
          <w:i/>
        </w:rPr>
        <w:t>computer- assisted telephone interviewing</w:t>
      </w:r>
      <w:r>
        <w:rPr/>
        <w:t>). O questionário </w:t>
      </w:r>
      <w:r>
        <w:rPr>
          <w:i/>
        </w:rPr>
        <w:t>web </w:t>
      </w:r>
      <w:r>
        <w:rPr/>
        <w:t>requeria autopreenchimento, sem mediação de entrevistador. O questionário CATI foi aplicado com mediação de entrevistadores devidamente treinados.</w:t>
      </w:r>
    </w:p>
    <w:p>
      <w:pPr>
        <w:pStyle w:val="BodyText"/>
        <w:spacing w:before="92"/>
      </w:pPr>
    </w:p>
    <w:p>
      <w:pPr>
        <w:pStyle w:val="Heading2"/>
        <w:numPr>
          <w:ilvl w:val="1"/>
          <w:numId w:val="1"/>
        </w:numPr>
        <w:tabs>
          <w:tab w:pos="474" w:val="left" w:leader="none"/>
        </w:tabs>
        <w:spacing w:line="240" w:lineRule="auto" w:before="0" w:after="0"/>
        <w:ind w:left="474" w:right="0" w:hanging="330"/>
        <w:jc w:val="left"/>
      </w:pPr>
      <w:r>
        <w:rPr/>
        <w:t>-</w:t>
      </w:r>
      <w:r>
        <w:rPr>
          <w:spacing w:val="-4"/>
        </w:rPr>
        <w:t> </w:t>
      </w:r>
      <w:r>
        <w:rPr/>
        <w:t>TEMÁTICAS </w:t>
      </w:r>
      <w:r>
        <w:rPr>
          <w:spacing w:val="-2"/>
        </w:rPr>
        <w:t>ABORDADAS</w:t>
      </w:r>
    </w:p>
    <w:p>
      <w:pPr>
        <w:pStyle w:val="BodyText"/>
        <w:spacing w:before="11"/>
        <w:rPr>
          <w:b/>
        </w:rPr>
      </w:pPr>
    </w:p>
    <w:p>
      <w:pPr>
        <w:pStyle w:val="BodyText"/>
        <w:spacing w:line="278" w:lineRule="auto"/>
        <w:ind w:left="144" w:right="144"/>
        <w:jc w:val="both"/>
      </w:pPr>
      <w:r>
        <w:rPr/>
        <w:t>Planejada para ser realizada e divulgada em três edições, a pesquisa investiga atividades realizadas na Internet e dispositivos utilizados para acesso à rede, tendo como referência os indicadores validados pela pesquisa TIC Domicílios (Comitê Gestor da Internet no Brasil [CGI.br], 2020).</w:t>
      </w:r>
    </w:p>
    <w:p>
      <w:pPr>
        <w:pStyle w:val="BodyText"/>
        <w:spacing w:before="155"/>
        <w:rPr>
          <w:sz w:val="20"/>
        </w:rPr>
      </w:pPr>
      <w:r>
        <w:rPr>
          <w:sz w:val="20"/>
        </w:rPr>
        <mc:AlternateContent>
          <mc:Choice Requires="wps">
            <w:drawing>
              <wp:anchor distT="0" distB="0" distL="0" distR="0" allowOverlap="1" layoutInCell="1" locked="0" behindDoc="1" simplePos="0" relativeHeight="487587840">
                <wp:simplePos x="0" y="0"/>
                <wp:positionH relativeFrom="page">
                  <wp:posOffset>541337</wp:posOffset>
                </wp:positionH>
                <wp:positionV relativeFrom="paragraph">
                  <wp:posOffset>269072</wp:posOffset>
                </wp:positionV>
                <wp:extent cx="1829435" cy="1016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21.186838pt;width:144.03pt;height:.79999pt;mso-position-horizontal-relative:page;mso-position-vertical-relative:paragraph;z-index:-15728640;mso-wrap-distance-left:0;mso-wrap-distance-right:0" id="docshape13" filled="true" fillcolor="#000000" stroked="false">
                <v:fill type="solid"/>
                <w10:wrap type="topAndBottom"/>
              </v:rect>
            </w:pict>
          </mc:Fallback>
        </mc:AlternateContent>
      </w:r>
    </w:p>
    <w:p>
      <w:pPr>
        <w:spacing w:before="101"/>
        <w:ind w:left="144" w:right="131" w:firstLine="0"/>
        <w:jc w:val="left"/>
        <w:rPr>
          <w:sz w:val="20"/>
        </w:rPr>
      </w:pPr>
      <w:r>
        <w:rPr>
          <w:sz w:val="20"/>
          <w:vertAlign w:val="superscript"/>
        </w:rPr>
        <w:t>1</w:t>
      </w:r>
      <w:r>
        <w:rPr>
          <w:spacing w:val="40"/>
          <w:sz w:val="20"/>
          <w:vertAlign w:val="baseline"/>
        </w:rPr>
        <w:t> </w:t>
      </w:r>
      <w:r>
        <w:rPr>
          <w:sz w:val="20"/>
          <w:vertAlign w:val="baseline"/>
        </w:rPr>
        <w:t>A Abep utiliza para tal classificação a posse de alguns itens duráveis de consumo doméstico, mais o grau de instrução do chefe do domicílio declarado. A posse dos itens estabelece um sistema de pontuação em que a soma para cada domicílio resulta</w:t>
      </w:r>
      <w:r>
        <w:rPr>
          <w:spacing w:val="-4"/>
          <w:sz w:val="20"/>
          <w:vertAlign w:val="baseline"/>
        </w:rPr>
        <w:t> </w:t>
      </w:r>
      <w:r>
        <w:rPr>
          <w:sz w:val="20"/>
          <w:vertAlign w:val="baseline"/>
        </w:rPr>
        <w:t>na</w:t>
      </w:r>
      <w:r>
        <w:rPr>
          <w:spacing w:val="-4"/>
          <w:sz w:val="20"/>
          <w:vertAlign w:val="baseline"/>
        </w:rPr>
        <w:t> </w:t>
      </w:r>
      <w:r>
        <w:rPr>
          <w:sz w:val="20"/>
          <w:vertAlign w:val="baseline"/>
        </w:rPr>
        <w:t>classificação</w:t>
      </w:r>
      <w:r>
        <w:rPr>
          <w:spacing w:val="-3"/>
          <w:sz w:val="20"/>
          <w:vertAlign w:val="baseline"/>
        </w:rPr>
        <w:t> </w:t>
      </w:r>
      <w:r>
        <w:rPr>
          <w:sz w:val="20"/>
          <w:vertAlign w:val="baseline"/>
        </w:rPr>
        <w:t>como</w:t>
      </w:r>
      <w:r>
        <w:rPr>
          <w:spacing w:val="-5"/>
          <w:sz w:val="20"/>
          <w:vertAlign w:val="baseline"/>
        </w:rPr>
        <w:t> </w:t>
      </w:r>
      <w:r>
        <w:rPr>
          <w:sz w:val="20"/>
          <w:vertAlign w:val="baseline"/>
        </w:rPr>
        <w:t>classes</w:t>
      </w:r>
      <w:r>
        <w:rPr>
          <w:spacing w:val="-2"/>
          <w:sz w:val="20"/>
          <w:vertAlign w:val="baseline"/>
        </w:rPr>
        <w:t> </w:t>
      </w:r>
      <w:r>
        <w:rPr>
          <w:sz w:val="20"/>
          <w:vertAlign w:val="baseline"/>
        </w:rPr>
        <w:t>econômicas A1,</w:t>
      </w:r>
      <w:r>
        <w:rPr>
          <w:spacing w:val="-2"/>
          <w:sz w:val="20"/>
          <w:vertAlign w:val="baseline"/>
        </w:rPr>
        <w:t> </w:t>
      </w:r>
      <w:r>
        <w:rPr>
          <w:sz w:val="20"/>
          <w:vertAlign w:val="baseline"/>
        </w:rPr>
        <w:t>A2,</w:t>
      </w:r>
      <w:r>
        <w:rPr>
          <w:spacing w:val="-2"/>
          <w:sz w:val="20"/>
          <w:vertAlign w:val="baseline"/>
        </w:rPr>
        <w:t> </w:t>
      </w:r>
      <w:r>
        <w:rPr>
          <w:sz w:val="20"/>
          <w:vertAlign w:val="baseline"/>
        </w:rPr>
        <w:t>B1,</w:t>
      </w:r>
      <w:r>
        <w:rPr>
          <w:spacing w:val="-2"/>
          <w:sz w:val="20"/>
          <w:vertAlign w:val="baseline"/>
        </w:rPr>
        <w:t> </w:t>
      </w:r>
      <w:r>
        <w:rPr>
          <w:sz w:val="20"/>
          <w:vertAlign w:val="baseline"/>
        </w:rPr>
        <w:t>B2,</w:t>
      </w:r>
      <w:r>
        <w:rPr>
          <w:spacing w:val="-2"/>
          <w:sz w:val="20"/>
          <w:vertAlign w:val="baseline"/>
        </w:rPr>
        <w:t> </w:t>
      </w:r>
      <w:r>
        <w:rPr>
          <w:sz w:val="20"/>
          <w:vertAlign w:val="baseline"/>
        </w:rPr>
        <w:t>C,</w:t>
      </w:r>
      <w:r>
        <w:rPr>
          <w:spacing w:val="-2"/>
          <w:sz w:val="20"/>
          <w:vertAlign w:val="baseline"/>
        </w:rPr>
        <w:t> </w:t>
      </w:r>
      <w:r>
        <w:rPr>
          <w:sz w:val="20"/>
          <w:vertAlign w:val="baseline"/>
        </w:rPr>
        <w:t>D</w:t>
      </w:r>
      <w:r>
        <w:rPr>
          <w:spacing w:val="-3"/>
          <w:sz w:val="20"/>
          <w:vertAlign w:val="baseline"/>
        </w:rPr>
        <w:t> </w:t>
      </w:r>
      <w:r>
        <w:rPr>
          <w:sz w:val="20"/>
          <w:vertAlign w:val="baseline"/>
        </w:rPr>
        <w:t>e</w:t>
      </w:r>
      <w:r>
        <w:rPr>
          <w:spacing w:val="-3"/>
          <w:sz w:val="20"/>
          <w:vertAlign w:val="baseline"/>
        </w:rPr>
        <w:t> </w:t>
      </w:r>
      <w:r>
        <w:rPr>
          <w:sz w:val="20"/>
          <w:vertAlign w:val="baseline"/>
        </w:rPr>
        <w:t>E.</w:t>
      </w:r>
      <w:r>
        <w:rPr>
          <w:spacing w:val="-2"/>
          <w:sz w:val="20"/>
          <w:vertAlign w:val="baseline"/>
        </w:rPr>
        <w:t> </w:t>
      </w:r>
      <w:r>
        <w:rPr>
          <w:sz w:val="20"/>
          <w:vertAlign w:val="baseline"/>
        </w:rPr>
        <w:t>O</w:t>
      </w:r>
      <w:r>
        <w:rPr>
          <w:spacing w:val="-4"/>
          <w:sz w:val="20"/>
          <w:vertAlign w:val="baseline"/>
        </w:rPr>
        <w:t> </w:t>
      </w:r>
      <w:r>
        <w:rPr>
          <w:sz w:val="20"/>
          <w:vertAlign w:val="baseline"/>
        </w:rPr>
        <w:t>Critério</w:t>
      </w:r>
      <w:r>
        <w:rPr>
          <w:spacing w:val="-5"/>
          <w:sz w:val="20"/>
          <w:vertAlign w:val="baseline"/>
        </w:rPr>
        <w:t> </w:t>
      </w:r>
      <w:r>
        <w:rPr>
          <w:sz w:val="20"/>
          <w:vertAlign w:val="baseline"/>
        </w:rPr>
        <w:t>Brasil</w:t>
      </w:r>
      <w:r>
        <w:rPr>
          <w:spacing w:val="-2"/>
          <w:sz w:val="20"/>
          <w:vertAlign w:val="baseline"/>
        </w:rPr>
        <w:t> </w:t>
      </w:r>
      <w:r>
        <w:rPr>
          <w:sz w:val="20"/>
          <w:vertAlign w:val="baseline"/>
        </w:rPr>
        <w:t>foi</w:t>
      </w:r>
      <w:r>
        <w:rPr>
          <w:spacing w:val="-2"/>
          <w:sz w:val="20"/>
          <w:vertAlign w:val="baseline"/>
        </w:rPr>
        <w:t> </w:t>
      </w:r>
      <w:r>
        <w:rPr>
          <w:sz w:val="20"/>
          <w:vertAlign w:val="baseline"/>
        </w:rPr>
        <w:t>atualizado</w:t>
      </w:r>
      <w:r>
        <w:rPr>
          <w:spacing w:val="-5"/>
          <w:sz w:val="20"/>
          <w:vertAlign w:val="baseline"/>
        </w:rPr>
        <w:t> </w:t>
      </w:r>
      <w:r>
        <w:rPr>
          <w:sz w:val="20"/>
          <w:vertAlign w:val="baseline"/>
        </w:rPr>
        <w:t>em</w:t>
      </w:r>
      <w:r>
        <w:rPr>
          <w:spacing w:val="-3"/>
          <w:sz w:val="20"/>
          <w:vertAlign w:val="baseline"/>
        </w:rPr>
        <w:t> </w:t>
      </w:r>
      <w:r>
        <w:rPr>
          <w:sz w:val="20"/>
          <w:vertAlign w:val="baseline"/>
        </w:rPr>
        <w:t>2015, resultando em classificação não comparável à anteriormente vigente (Critério Brasil 2008). Para os resultados divulgados a partir de 2016, foi adotado o Critério Brasil de 2015.</w:t>
      </w:r>
    </w:p>
    <w:p>
      <w:pPr>
        <w:spacing w:after="0"/>
        <w:jc w:val="left"/>
        <w:rPr>
          <w:sz w:val="20"/>
        </w:rPr>
        <w:sectPr>
          <w:headerReference w:type="default" r:id="rId7"/>
          <w:footerReference w:type="default" r:id="rId8"/>
          <w:pgSz w:w="11910" w:h="16840"/>
          <w:pgMar w:header="737" w:footer="1652" w:top="2180" w:bottom="1840" w:left="708" w:right="708"/>
        </w:sectPr>
      </w:pPr>
    </w:p>
    <w:p>
      <w:pPr>
        <w:pStyle w:val="BodyText"/>
      </w:pPr>
    </w:p>
    <w:p>
      <w:pPr>
        <w:pStyle w:val="BodyText"/>
        <w:spacing w:before="243"/>
      </w:pPr>
    </w:p>
    <w:p>
      <w:pPr>
        <w:pStyle w:val="BodyText"/>
        <w:spacing w:line="278" w:lineRule="auto"/>
        <w:ind w:left="144" w:right="143"/>
        <w:jc w:val="both"/>
      </w:pPr>
      <w:r>
        <w:rPr/>
        <w:t>Além</w:t>
      </w:r>
      <w:r>
        <w:rPr>
          <w:spacing w:val="-5"/>
        </w:rPr>
        <w:t> </w:t>
      </w:r>
      <w:r>
        <w:rPr/>
        <w:t>disso,</w:t>
      </w:r>
      <w:r>
        <w:rPr>
          <w:spacing w:val="-4"/>
        </w:rPr>
        <w:t> </w:t>
      </w:r>
      <w:r>
        <w:rPr/>
        <w:t>foram</w:t>
      </w:r>
      <w:r>
        <w:rPr>
          <w:spacing w:val="-5"/>
        </w:rPr>
        <w:t> </w:t>
      </w:r>
      <w:r>
        <w:rPr/>
        <w:t>criados</w:t>
      </w:r>
      <w:r>
        <w:rPr>
          <w:spacing w:val="-3"/>
        </w:rPr>
        <w:t> </w:t>
      </w:r>
      <w:r>
        <w:rPr/>
        <w:t>módulos</w:t>
      </w:r>
      <w:r>
        <w:rPr>
          <w:spacing w:val="-1"/>
        </w:rPr>
        <w:t> </w:t>
      </w:r>
      <w:r>
        <w:rPr/>
        <w:t>temáticos</w:t>
      </w:r>
      <w:r>
        <w:rPr>
          <w:spacing w:val="-3"/>
        </w:rPr>
        <w:t> </w:t>
      </w:r>
      <w:r>
        <w:rPr/>
        <w:t>para</w:t>
      </w:r>
      <w:r>
        <w:rPr>
          <w:spacing w:val="-3"/>
        </w:rPr>
        <w:t> </w:t>
      </w:r>
      <w:r>
        <w:rPr/>
        <w:t>aprofundar</w:t>
      </w:r>
      <w:r>
        <w:rPr>
          <w:spacing w:val="-6"/>
        </w:rPr>
        <w:t> </w:t>
      </w:r>
      <w:r>
        <w:rPr/>
        <w:t>e</w:t>
      </w:r>
      <w:r>
        <w:rPr>
          <w:spacing w:val="-3"/>
        </w:rPr>
        <w:t> </w:t>
      </w:r>
      <w:r>
        <w:rPr/>
        <w:t>detalhar</w:t>
      </w:r>
      <w:r>
        <w:rPr>
          <w:spacing w:val="-2"/>
        </w:rPr>
        <w:t> </w:t>
      </w:r>
      <w:r>
        <w:rPr/>
        <w:t>aspectos</w:t>
      </w:r>
      <w:r>
        <w:rPr>
          <w:spacing w:val="-4"/>
        </w:rPr>
        <w:t> </w:t>
      </w:r>
      <w:r>
        <w:rPr/>
        <w:t>do</w:t>
      </w:r>
      <w:r>
        <w:rPr>
          <w:spacing w:val="-5"/>
        </w:rPr>
        <w:t> </w:t>
      </w:r>
      <w:r>
        <w:rPr/>
        <w:t>uso</w:t>
      </w:r>
      <w:r>
        <w:rPr>
          <w:spacing w:val="-1"/>
        </w:rPr>
        <w:t> </w:t>
      </w:r>
      <w:r>
        <w:rPr/>
        <w:t>da</w:t>
      </w:r>
      <w:r>
        <w:rPr>
          <w:spacing w:val="-6"/>
        </w:rPr>
        <w:t> </w:t>
      </w:r>
      <w:r>
        <w:rPr/>
        <w:t>rede</w:t>
      </w:r>
      <w:r>
        <w:rPr>
          <w:spacing w:val="-3"/>
        </w:rPr>
        <w:t> </w:t>
      </w:r>
      <w:r>
        <w:rPr/>
        <w:t>relacionados</w:t>
      </w:r>
      <w:r>
        <w:rPr>
          <w:spacing w:val="-3"/>
        </w:rPr>
        <w:t> </w:t>
      </w:r>
      <w:r>
        <w:rPr/>
        <w:t>ao contexto</w:t>
      </w:r>
      <w:r>
        <w:rPr>
          <w:spacing w:val="-4"/>
        </w:rPr>
        <w:t> </w:t>
      </w:r>
      <w:r>
        <w:rPr/>
        <w:t>de</w:t>
      </w:r>
      <w:r>
        <w:rPr>
          <w:spacing w:val="-4"/>
        </w:rPr>
        <w:t> </w:t>
      </w:r>
      <w:r>
        <w:rPr/>
        <w:t>enfrentamento</w:t>
      </w:r>
      <w:r>
        <w:rPr>
          <w:spacing w:val="-7"/>
        </w:rPr>
        <w:t> </w:t>
      </w:r>
      <w:r>
        <w:rPr/>
        <w:t>da</w:t>
      </w:r>
      <w:r>
        <w:rPr>
          <w:spacing w:val="-9"/>
        </w:rPr>
        <w:t> </w:t>
      </w:r>
      <w:r>
        <w:rPr/>
        <w:t>pandemia</w:t>
      </w:r>
      <w:r>
        <w:rPr>
          <w:spacing w:val="-9"/>
        </w:rPr>
        <w:t> </w:t>
      </w:r>
      <w:r>
        <w:rPr/>
        <w:t>da</w:t>
      </w:r>
      <w:r>
        <w:rPr>
          <w:spacing w:val="-5"/>
        </w:rPr>
        <w:t> </w:t>
      </w:r>
      <w:r>
        <w:rPr/>
        <w:t>COVID-19</w:t>
      </w:r>
      <w:r>
        <w:rPr>
          <w:spacing w:val="-7"/>
        </w:rPr>
        <w:t> </w:t>
      </w:r>
      <w:r>
        <w:rPr/>
        <w:t>e</w:t>
      </w:r>
      <w:r>
        <w:rPr>
          <w:spacing w:val="-5"/>
        </w:rPr>
        <w:t> </w:t>
      </w:r>
      <w:r>
        <w:rPr/>
        <w:t>seus</w:t>
      </w:r>
      <w:r>
        <w:rPr>
          <w:spacing w:val="-5"/>
        </w:rPr>
        <w:t> </w:t>
      </w:r>
      <w:r>
        <w:rPr/>
        <w:t>efeitos</w:t>
      </w:r>
      <w:r>
        <w:rPr>
          <w:spacing w:val="-5"/>
        </w:rPr>
        <w:t> </w:t>
      </w:r>
      <w:r>
        <w:rPr/>
        <w:t>na</w:t>
      </w:r>
      <w:r>
        <w:rPr>
          <w:spacing w:val="-4"/>
        </w:rPr>
        <w:t> </w:t>
      </w:r>
      <w:r>
        <w:rPr/>
        <w:t>sociedade.</w:t>
      </w:r>
      <w:r>
        <w:rPr>
          <w:spacing w:val="-3"/>
        </w:rPr>
        <w:t> </w:t>
      </w:r>
      <w:r>
        <w:rPr/>
        <w:t>Para</w:t>
      </w:r>
      <w:r>
        <w:rPr>
          <w:spacing w:val="-5"/>
        </w:rPr>
        <w:t> </w:t>
      </w:r>
      <w:r>
        <w:rPr/>
        <w:t>tanto,</w:t>
      </w:r>
      <w:r>
        <w:rPr>
          <w:spacing w:val="-6"/>
        </w:rPr>
        <w:t> </w:t>
      </w:r>
      <w:r>
        <w:rPr/>
        <w:t>o</w:t>
      </w:r>
      <w:r>
        <w:rPr>
          <w:spacing w:val="-3"/>
        </w:rPr>
        <w:t> </w:t>
      </w:r>
      <w:r>
        <w:rPr/>
        <w:t>Painel</w:t>
      </w:r>
      <w:r>
        <w:rPr>
          <w:spacing w:val="-6"/>
        </w:rPr>
        <w:t> </w:t>
      </w:r>
      <w:r>
        <w:rPr/>
        <w:t>TIC</w:t>
      </w:r>
      <w:r>
        <w:rPr>
          <w:spacing w:val="-4"/>
        </w:rPr>
        <w:t> </w:t>
      </w:r>
      <w:r>
        <w:rPr/>
        <w:t>COVID- 19 inclui indicadores referentes aos seguintes temas:</w:t>
      </w:r>
    </w:p>
    <w:p>
      <w:pPr>
        <w:pStyle w:val="BodyText"/>
        <w:spacing w:before="199"/>
        <w:rPr>
          <w:sz w:val="20"/>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2549"/>
      </w:tblGrid>
      <w:tr>
        <w:trPr>
          <w:trHeight w:val="909" w:hRule="atLeast"/>
        </w:trPr>
        <w:tc>
          <w:tcPr>
            <w:tcW w:w="1416" w:type="dxa"/>
          </w:tcPr>
          <w:p>
            <w:pPr>
              <w:pStyle w:val="TableParagraph"/>
              <w:spacing w:before="52"/>
              <w:rPr>
                <w:sz w:val="22"/>
              </w:rPr>
            </w:pPr>
          </w:p>
          <w:p>
            <w:pPr>
              <w:pStyle w:val="TableParagraph"/>
              <w:spacing w:before="1"/>
              <w:ind w:left="107"/>
              <w:rPr>
                <w:b/>
                <w:sz w:val="22"/>
              </w:rPr>
            </w:pPr>
            <w:r>
              <w:rPr>
                <w:b/>
                <w:sz w:val="22"/>
              </w:rPr>
              <w:t>1ª</w:t>
            </w:r>
            <w:r>
              <w:rPr>
                <w:b/>
                <w:spacing w:val="-2"/>
                <w:sz w:val="22"/>
              </w:rPr>
              <w:t> EDIÇÃO</w:t>
            </w:r>
          </w:p>
        </w:tc>
        <w:tc>
          <w:tcPr>
            <w:tcW w:w="2549" w:type="dxa"/>
          </w:tcPr>
          <w:p>
            <w:pPr>
              <w:pStyle w:val="TableParagraph"/>
              <w:spacing w:line="268" w:lineRule="exact" w:before="185"/>
              <w:ind w:left="103"/>
              <w:rPr>
                <w:sz w:val="22"/>
              </w:rPr>
            </w:pPr>
            <w:r>
              <w:rPr>
                <w:spacing w:val="-2"/>
                <w:sz w:val="22"/>
              </w:rPr>
              <w:t>Cultura</w:t>
            </w:r>
          </w:p>
          <w:p>
            <w:pPr>
              <w:pStyle w:val="TableParagraph"/>
              <w:spacing w:line="268" w:lineRule="exact"/>
              <w:ind w:left="103"/>
              <w:rPr>
                <w:sz w:val="22"/>
              </w:rPr>
            </w:pPr>
            <w:r>
              <w:rPr>
                <w:sz w:val="22"/>
              </w:rPr>
              <w:t>Comércio</w:t>
            </w:r>
            <w:r>
              <w:rPr>
                <w:spacing w:val="-8"/>
                <w:sz w:val="22"/>
              </w:rPr>
              <w:t> </w:t>
            </w:r>
            <w:r>
              <w:rPr>
                <w:spacing w:val="-2"/>
                <w:sz w:val="22"/>
              </w:rPr>
              <w:t>eletrônico</w:t>
            </w:r>
          </w:p>
        </w:tc>
      </w:tr>
      <w:tr>
        <w:trPr>
          <w:trHeight w:val="906" w:hRule="atLeast"/>
        </w:trPr>
        <w:tc>
          <w:tcPr>
            <w:tcW w:w="1416" w:type="dxa"/>
          </w:tcPr>
          <w:p>
            <w:pPr>
              <w:pStyle w:val="TableParagraph"/>
              <w:spacing w:before="49"/>
              <w:rPr>
                <w:sz w:val="22"/>
              </w:rPr>
            </w:pPr>
          </w:p>
          <w:p>
            <w:pPr>
              <w:pStyle w:val="TableParagraph"/>
              <w:ind w:left="107"/>
              <w:rPr>
                <w:b/>
                <w:sz w:val="22"/>
              </w:rPr>
            </w:pPr>
            <w:r>
              <w:rPr>
                <w:b/>
                <w:sz w:val="22"/>
              </w:rPr>
              <w:t>2ª</w:t>
            </w:r>
            <w:r>
              <w:rPr>
                <w:b/>
                <w:spacing w:val="-2"/>
                <w:sz w:val="22"/>
              </w:rPr>
              <w:t> EDIÇÃO</w:t>
            </w:r>
          </w:p>
        </w:tc>
        <w:tc>
          <w:tcPr>
            <w:tcW w:w="2549" w:type="dxa"/>
          </w:tcPr>
          <w:p>
            <w:pPr>
              <w:pStyle w:val="TableParagraph"/>
              <w:spacing w:before="49"/>
              <w:ind w:left="103"/>
              <w:rPr>
                <w:sz w:val="22"/>
              </w:rPr>
            </w:pPr>
            <w:r>
              <w:rPr>
                <w:sz w:val="22"/>
              </w:rPr>
              <w:t>Serviços</w:t>
            </w:r>
            <w:r>
              <w:rPr>
                <w:spacing w:val="-13"/>
                <w:sz w:val="22"/>
              </w:rPr>
              <w:t> </w:t>
            </w:r>
            <w:r>
              <w:rPr>
                <w:sz w:val="22"/>
              </w:rPr>
              <w:t>públicos</w:t>
            </w:r>
            <w:r>
              <w:rPr>
                <w:spacing w:val="-12"/>
                <w:sz w:val="22"/>
              </w:rPr>
              <w:t> </w:t>
            </w:r>
            <w:r>
              <w:rPr>
                <w:sz w:val="22"/>
              </w:rPr>
              <w:t>on-line </w:t>
            </w:r>
            <w:r>
              <w:rPr>
                <w:spacing w:val="-2"/>
                <w:sz w:val="22"/>
              </w:rPr>
              <w:t>Telessaúde</w:t>
            </w:r>
          </w:p>
          <w:p>
            <w:pPr>
              <w:pStyle w:val="TableParagraph"/>
              <w:spacing w:line="268" w:lineRule="exact"/>
              <w:ind w:left="103"/>
              <w:rPr>
                <w:sz w:val="22"/>
              </w:rPr>
            </w:pPr>
            <w:r>
              <w:rPr>
                <w:spacing w:val="-2"/>
                <w:sz w:val="22"/>
              </w:rPr>
              <w:t>Privacidade</w:t>
            </w:r>
          </w:p>
        </w:tc>
      </w:tr>
      <w:tr>
        <w:trPr>
          <w:trHeight w:val="905" w:hRule="atLeast"/>
        </w:trPr>
        <w:tc>
          <w:tcPr>
            <w:tcW w:w="1416" w:type="dxa"/>
          </w:tcPr>
          <w:p>
            <w:pPr>
              <w:pStyle w:val="TableParagraph"/>
              <w:spacing w:before="48"/>
              <w:rPr>
                <w:sz w:val="22"/>
              </w:rPr>
            </w:pPr>
          </w:p>
          <w:p>
            <w:pPr>
              <w:pStyle w:val="TableParagraph"/>
              <w:spacing w:before="1"/>
              <w:ind w:left="107"/>
              <w:rPr>
                <w:b/>
                <w:sz w:val="22"/>
              </w:rPr>
            </w:pPr>
            <w:r>
              <w:rPr>
                <w:b/>
                <w:sz w:val="22"/>
              </w:rPr>
              <w:t>3ª</w:t>
            </w:r>
            <w:r>
              <w:rPr>
                <w:b/>
                <w:spacing w:val="-2"/>
                <w:sz w:val="22"/>
              </w:rPr>
              <w:t> EDIÇÃO</w:t>
            </w:r>
          </w:p>
        </w:tc>
        <w:tc>
          <w:tcPr>
            <w:tcW w:w="2549" w:type="dxa"/>
          </w:tcPr>
          <w:p>
            <w:pPr>
              <w:pStyle w:val="TableParagraph"/>
              <w:spacing w:before="185"/>
              <w:ind w:left="103" w:right="1120"/>
              <w:rPr>
                <w:sz w:val="22"/>
              </w:rPr>
            </w:pPr>
            <w:r>
              <w:rPr>
                <w:sz w:val="22"/>
              </w:rPr>
              <w:t>Ensino</w:t>
            </w:r>
            <w:r>
              <w:rPr>
                <w:spacing w:val="-13"/>
                <w:sz w:val="22"/>
              </w:rPr>
              <w:t> </w:t>
            </w:r>
            <w:r>
              <w:rPr>
                <w:sz w:val="22"/>
              </w:rPr>
              <w:t>remoto </w:t>
            </w:r>
            <w:r>
              <w:rPr>
                <w:spacing w:val="-2"/>
                <w:sz w:val="22"/>
              </w:rPr>
              <w:t>Teletrabalho</w:t>
            </w:r>
          </w:p>
        </w:tc>
      </w:tr>
    </w:tbl>
    <w:p>
      <w:pPr>
        <w:pStyle w:val="BodyText"/>
        <w:spacing w:before="191"/>
        <w:rPr>
          <w:sz w:val="24"/>
        </w:rPr>
      </w:pPr>
    </w:p>
    <w:p>
      <w:pPr>
        <w:pStyle w:val="Heading1"/>
        <w:numPr>
          <w:ilvl w:val="0"/>
          <w:numId w:val="1"/>
        </w:numPr>
        <w:tabs>
          <w:tab w:pos="319" w:val="left" w:leader="none"/>
        </w:tabs>
        <w:spacing w:line="240" w:lineRule="auto" w:before="0" w:after="0"/>
        <w:ind w:left="319" w:right="0" w:hanging="175"/>
        <w:jc w:val="both"/>
      </w:pPr>
      <w:r>
        <w:rPr/>
        <w:t>-</w:t>
      </w:r>
      <w:r>
        <w:rPr>
          <w:spacing w:val="-2"/>
        </w:rPr>
        <w:t> </w:t>
      </w:r>
      <w:r>
        <w:rPr/>
        <w:t>PLANO</w:t>
      </w:r>
      <w:r>
        <w:rPr>
          <w:spacing w:val="1"/>
        </w:rPr>
        <w:t> </w:t>
      </w:r>
      <w:r>
        <w:rPr>
          <w:spacing w:val="-2"/>
        </w:rPr>
        <w:t>AMOSTRAL</w:t>
      </w:r>
    </w:p>
    <w:p>
      <w:pPr>
        <w:pStyle w:val="BodyText"/>
        <w:spacing w:before="109"/>
        <w:rPr>
          <w:b/>
          <w:sz w:val="24"/>
        </w:rPr>
      </w:pPr>
    </w:p>
    <w:p>
      <w:pPr>
        <w:pStyle w:val="Heading2"/>
        <w:numPr>
          <w:ilvl w:val="1"/>
          <w:numId w:val="1"/>
        </w:numPr>
        <w:tabs>
          <w:tab w:pos="474" w:val="left" w:leader="none"/>
        </w:tabs>
        <w:spacing w:line="240" w:lineRule="auto" w:before="0" w:after="0"/>
        <w:ind w:left="474" w:right="0" w:hanging="330"/>
        <w:jc w:val="left"/>
      </w:pPr>
      <w:r>
        <w:rPr/>
        <w:t>-</w:t>
      </w:r>
      <w:r>
        <w:rPr>
          <w:spacing w:val="-3"/>
        </w:rPr>
        <w:t> </w:t>
      </w:r>
      <w:r>
        <w:rPr/>
        <w:t>CADASTROS</w:t>
      </w:r>
      <w:r>
        <w:rPr>
          <w:spacing w:val="-4"/>
        </w:rPr>
        <w:t> </w:t>
      </w:r>
      <w:r>
        <w:rPr/>
        <w:t>E FONTES</w:t>
      </w:r>
      <w:r>
        <w:rPr>
          <w:spacing w:val="-3"/>
        </w:rPr>
        <w:t> </w:t>
      </w:r>
      <w:r>
        <w:rPr/>
        <w:t>DE</w:t>
      </w:r>
      <w:r>
        <w:rPr>
          <w:spacing w:val="-2"/>
        </w:rPr>
        <w:t> INFORMAÇÃO</w:t>
      </w:r>
    </w:p>
    <w:p>
      <w:pPr>
        <w:pStyle w:val="BodyText"/>
        <w:spacing w:before="11"/>
        <w:rPr>
          <w:b/>
        </w:rPr>
      </w:pPr>
    </w:p>
    <w:p>
      <w:pPr>
        <w:pStyle w:val="BodyText"/>
        <w:spacing w:line="276" w:lineRule="auto"/>
        <w:ind w:left="144" w:right="135"/>
        <w:jc w:val="both"/>
      </w:pPr>
      <w:r>
        <w:rPr/>
        <w:t>Para</w:t>
      </w:r>
      <w:r>
        <w:rPr>
          <w:spacing w:val="-6"/>
        </w:rPr>
        <w:t> </w:t>
      </w:r>
      <w:r>
        <w:rPr/>
        <w:t>o</w:t>
      </w:r>
      <w:r>
        <w:rPr>
          <w:spacing w:val="-1"/>
        </w:rPr>
        <w:t> </w:t>
      </w:r>
      <w:r>
        <w:rPr/>
        <w:t>desenho</w:t>
      </w:r>
      <w:r>
        <w:rPr>
          <w:spacing w:val="-4"/>
        </w:rPr>
        <w:t> </w:t>
      </w:r>
      <w:r>
        <w:rPr/>
        <w:t>amostral</w:t>
      </w:r>
      <w:r>
        <w:rPr>
          <w:spacing w:val="-3"/>
        </w:rPr>
        <w:t> </w:t>
      </w:r>
      <w:r>
        <w:rPr/>
        <w:t>do Painel</w:t>
      </w:r>
      <w:r>
        <w:rPr>
          <w:spacing w:val="-3"/>
        </w:rPr>
        <w:t> </w:t>
      </w:r>
      <w:r>
        <w:rPr/>
        <w:t>TIC</w:t>
      </w:r>
      <w:r>
        <w:rPr>
          <w:spacing w:val="-5"/>
        </w:rPr>
        <w:t> </w:t>
      </w:r>
      <w:r>
        <w:rPr/>
        <w:t>COVID-19</w:t>
      </w:r>
      <w:r>
        <w:rPr>
          <w:spacing w:val="-4"/>
        </w:rPr>
        <w:t> </w:t>
      </w:r>
      <w:r>
        <w:rPr/>
        <w:t>foi</w:t>
      </w:r>
      <w:r>
        <w:rPr>
          <w:spacing w:val="-3"/>
        </w:rPr>
        <w:t> </w:t>
      </w:r>
      <w:r>
        <w:rPr/>
        <w:t>utilizado</w:t>
      </w:r>
      <w:r>
        <w:rPr>
          <w:spacing w:val="-4"/>
        </w:rPr>
        <w:t> </w:t>
      </w:r>
      <w:r>
        <w:rPr/>
        <w:t>como</w:t>
      </w:r>
      <w:r>
        <w:rPr>
          <w:spacing w:val="-4"/>
        </w:rPr>
        <w:t> </w:t>
      </w:r>
      <w:r>
        <w:rPr/>
        <w:t>fonte</w:t>
      </w:r>
      <w:r>
        <w:rPr>
          <w:spacing w:val="-6"/>
        </w:rPr>
        <w:t> </w:t>
      </w:r>
      <w:r>
        <w:rPr/>
        <w:t>primária</w:t>
      </w:r>
      <w:r>
        <w:rPr>
          <w:spacing w:val="-6"/>
        </w:rPr>
        <w:t> </w:t>
      </w:r>
      <w:r>
        <w:rPr/>
        <w:t>o Painel Conectaí,</w:t>
      </w:r>
      <w:r>
        <w:rPr>
          <w:spacing w:val="-3"/>
        </w:rPr>
        <w:t> </w:t>
      </w:r>
      <w:r>
        <w:rPr/>
        <w:t>mantido</w:t>
      </w:r>
      <w:r>
        <w:rPr>
          <w:spacing w:val="-4"/>
        </w:rPr>
        <w:t> </w:t>
      </w:r>
      <w:r>
        <w:rPr/>
        <w:t>pelo IBOPE Inteligência, que conta com aproximadamente 95 mil painelistas de 16 anos ou mais de idade. Para complementar as entrevistas obtidas foram contactados painelistas de outras empresas parceiras do IBOPE Inteligência, como a Offerwise. O recrutamento dos participantes nos painéis se dá por uma série de canais e métodos, escolha criteriosa de parceiros de recrutamento e parcerias com veículos de comunicação e mídia, avaliação contínua da taxa de resposta dos painelistas, foco em ações de recrutamento para públicos específicos conforme</w:t>
      </w:r>
      <w:r>
        <w:rPr>
          <w:spacing w:val="-4"/>
        </w:rPr>
        <w:t> </w:t>
      </w:r>
      <w:r>
        <w:rPr/>
        <w:t>as</w:t>
      </w:r>
      <w:r>
        <w:rPr>
          <w:spacing w:val="-5"/>
        </w:rPr>
        <w:t> </w:t>
      </w:r>
      <w:r>
        <w:rPr/>
        <w:t>necessidades</w:t>
      </w:r>
      <w:r>
        <w:rPr>
          <w:spacing w:val="-5"/>
        </w:rPr>
        <w:t> </w:t>
      </w:r>
      <w:r>
        <w:rPr/>
        <w:t>dos</w:t>
      </w:r>
      <w:r>
        <w:rPr>
          <w:spacing w:val="-5"/>
        </w:rPr>
        <w:t> </w:t>
      </w:r>
      <w:r>
        <w:rPr/>
        <w:t>clientes,</w:t>
      </w:r>
      <w:r>
        <w:rPr>
          <w:spacing w:val="-6"/>
        </w:rPr>
        <w:t> </w:t>
      </w:r>
      <w:r>
        <w:rPr/>
        <w:t>processo</w:t>
      </w:r>
      <w:r>
        <w:rPr>
          <w:spacing w:val="-7"/>
        </w:rPr>
        <w:t> </w:t>
      </w:r>
      <w:r>
        <w:rPr/>
        <w:t>de</w:t>
      </w:r>
      <w:r>
        <w:rPr>
          <w:spacing w:val="-8"/>
        </w:rPr>
        <w:t> </w:t>
      </w:r>
      <w:r>
        <w:rPr/>
        <w:t>recrutamento</w:t>
      </w:r>
      <w:r>
        <w:rPr>
          <w:spacing w:val="-4"/>
        </w:rPr>
        <w:t> </w:t>
      </w:r>
      <w:r>
        <w:rPr/>
        <w:t>em</w:t>
      </w:r>
      <w:r>
        <w:rPr>
          <w:spacing w:val="-3"/>
        </w:rPr>
        <w:t> </w:t>
      </w:r>
      <w:r>
        <w:rPr/>
        <w:t>conformidade</w:t>
      </w:r>
      <w:r>
        <w:rPr>
          <w:spacing w:val="-4"/>
        </w:rPr>
        <w:t> </w:t>
      </w:r>
      <w:r>
        <w:rPr/>
        <w:t>com</w:t>
      </w:r>
      <w:r>
        <w:rPr>
          <w:spacing w:val="-3"/>
        </w:rPr>
        <w:t> </w:t>
      </w:r>
      <w:r>
        <w:rPr/>
        <w:t>os</w:t>
      </w:r>
      <w:r>
        <w:rPr>
          <w:spacing w:val="-5"/>
        </w:rPr>
        <w:t> </w:t>
      </w:r>
      <w:r>
        <w:rPr/>
        <w:t>mais</w:t>
      </w:r>
      <w:r>
        <w:rPr>
          <w:spacing w:val="-5"/>
        </w:rPr>
        <w:t> </w:t>
      </w:r>
      <w:r>
        <w:rPr/>
        <w:t>altos</w:t>
      </w:r>
      <w:r>
        <w:rPr>
          <w:spacing w:val="-5"/>
        </w:rPr>
        <w:t> </w:t>
      </w:r>
      <w:r>
        <w:rPr/>
        <w:t>padrões</w:t>
      </w:r>
      <w:r>
        <w:rPr>
          <w:spacing w:val="-5"/>
        </w:rPr>
        <w:t> </w:t>
      </w:r>
      <w:r>
        <w:rPr/>
        <w:t>de mercado. Além disso, é importante mencionar que os participantes dos painéis recebem incentivos para responderem às pesquisas.</w:t>
      </w:r>
    </w:p>
    <w:p>
      <w:pPr>
        <w:pStyle w:val="BodyText"/>
        <w:spacing w:line="276" w:lineRule="auto" w:before="241"/>
        <w:ind w:left="144" w:right="141"/>
        <w:jc w:val="both"/>
      </w:pPr>
      <w:r>
        <w:rPr/>
        <w:t>Para além dos painéis, foram realizadas entrevistas complementares por meio de abordagem telefônica, para contemplar segmentos populacionais mais raros nos painéis on-line e que compõem a população da pesquisa. O cadastro</w:t>
      </w:r>
      <w:r>
        <w:rPr>
          <w:spacing w:val="-9"/>
        </w:rPr>
        <w:t> </w:t>
      </w:r>
      <w:r>
        <w:rPr/>
        <w:t>utilizado</w:t>
      </w:r>
      <w:r>
        <w:rPr>
          <w:spacing w:val="-9"/>
        </w:rPr>
        <w:t> </w:t>
      </w:r>
      <w:r>
        <w:rPr/>
        <w:t>foi</w:t>
      </w:r>
      <w:r>
        <w:rPr>
          <w:spacing w:val="-8"/>
        </w:rPr>
        <w:t> </w:t>
      </w:r>
      <w:r>
        <w:rPr/>
        <w:t>obtido</w:t>
      </w:r>
      <w:r>
        <w:rPr>
          <w:spacing w:val="-9"/>
        </w:rPr>
        <w:t> </w:t>
      </w:r>
      <w:r>
        <w:rPr/>
        <w:t>junto</w:t>
      </w:r>
      <w:r>
        <w:rPr>
          <w:spacing w:val="-9"/>
        </w:rPr>
        <w:t> </w:t>
      </w:r>
      <w:r>
        <w:rPr/>
        <w:t>a</w:t>
      </w:r>
      <w:r>
        <w:rPr>
          <w:spacing w:val="-11"/>
        </w:rPr>
        <w:t> </w:t>
      </w:r>
      <w:r>
        <w:rPr/>
        <w:t>empresas</w:t>
      </w:r>
      <w:r>
        <w:rPr>
          <w:spacing w:val="-4"/>
        </w:rPr>
        <w:t> </w:t>
      </w:r>
      <w:r>
        <w:rPr/>
        <w:t>especializadas,</w:t>
      </w:r>
      <w:r>
        <w:rPr>
          <w:spacing w:val="-8"/>
        </w:rPr>
        <w:t> </w:t>
      </w:r>
      <w:r>
        <w:rPr/>
        <w:t>que</w:t>
      </w:r>
      <w:r>
        <w:rPr>
          <w:spacing w:val="-11"/>
        </w:rPr>
        <w:t> </w:t>
      </w:r>
      <w:r>
        <w:rPr/>
        <w:t>seguem</w:t>
      </w:r>
      <w:r>
        <w:rPr>
          <w:spacing w:val="-9"/>
        </w:rPr>
        <w:t> </w:t>
      </w:r>
      <w:r>
        <w:rPr/>
        <w:t>critérios</w:t>
      </w:r>
      <w:r>
        <w:rPr>
          <w:spacing w:val="-7"/>
        </w:rPr>
        <w:t> </w:t>
      </w:r>
      <w:r>
        <w:rPr/>
        <w:t>de</w:t>
      </w:r>
      <w:r>
        <w:rPr>
          <w:spacing w:val="-10"/>
        </w:rPr>
        <w:t> </w:t>
      </w:r>
      <w:r>
        <w:rPr/>
        <w:t>privacidade</w:t>
      </w:r>
      <w:r>
        <w:rPr>
          <w:spacing w:val="-10"/>
        </w:rPr>
        <w:t> </w:t>
      </w:r>
      <w:r>
        <w:rPr/>
        <w:t>e</w:t>
      </w:r>
      <w:r>
        <w:rPr>
          <w:spacing w:val="-11"/>
        </w:rPr>
        <w:t> </w:t>
      </w:r>
      <w:r>
        <w:rPr/>
        <w:t>orientações</w:t>
      </w:r>
      <w:r>
        <w:rPr>
          <w:spacing w:val="-7"/>
        </w:rPr>
        <w:t> </w:t>
      </w:r>
      <w:r>
        <w:rPr/>
        <w:t>da Abep e</w:t>
      </w:r>
      <w:r>
        <w:rPr>
          <w:spacing w:val="-3"/>
        </w:rPr>
        <w:t> </w:t>
      </w:r>
      <w:r>
        <w:rPr/>
        <w:t>da</w:t>
      </w:r>
      <w:r>
        <w:rPr>
          <w:spacing w:val="-2"/>
        </w:rPr>
        <w:t> </w:t>
      </w:r>
      <w:r>
        <w:rPr/>
        <w:t>World</w:t>
      </w:r>
      <w:r>
        <w:rPr>
          <w:spacing w:val="-1"/>
        </w:rPr>
        <w:t> </w:t>
      </w:r>
      <w:r>
        <w:rPr/>
        <w:t>Research</w:t>
      </w:r>
      <w:r>
        <w:rPr>
          <w:spacing w:val="-1"/>
        </w:rPr>
        <w:t> </w:t>
      </w:r>
      <w:r>
        <w:rPr/>
        <w:t>Association (ESOMAR).</w:t>
      </w:r>
      <w:r>
        <w:rPr>
          <w:spacing w:val="-1"/>
        </w:rPr>
        <w:t> </w:t>
      </w:r>
      <w:r>
        <w:rPr/>
        <w:t>Além</w:t>
      </w:r>
      <w:r>
        <w:rPr>
          <w:spacing w:val="-1"/>
        </w:rPr>
        <w:t> </w:t>
      </w:r>
      <w:r>
        <w:rPr/>
        <w:t>disso,</w:t>
      </w:r>
      <w:r>
        <w:rPr>
          <w:spacing w:val="-1"/>
        </w:rPr>
        <w:t> </w:t>
      </w:r>
      <w:r>
        <w:rPr/>
        <w:t>estão</w:t>
      </w:r>
      <w:r>
        <w:rPr>
          <w:spacing w:val="-1"/>
        </w:rPr>
        <w:t> </w:t>
      </w:r>
      <w:r>
        <w:rPr/>
        <w:t>em conformidade</w:t>
      </w:r>
      <w:r>
        <w:rPr>
          <w:spacing w:val="-3"/>
        </w:rPr>
        <w:t> </w:t>
      </w:r>
      <w:r>
        <w:rPr/>
        <w:t>com</w:t>
      </w:r>
      <w:r>
        <w:rPr>
          <w:spacing w:val="-1"/>
        </w:rPr>
        <w:t> </w:t>
      </w:r>
      <w:r>
        <w:rPr/>
        <w:t>a</w:t>
      </w:r>
      <w:r>
        <w:rPr>
          <w:spacing w:val="-3"/>
        </w:rPr>
        <w:t> </w:t>
      </w:r>
      <w:r>
        <w:rPr/>
        <w:t>norma</w:t>
      </w:r>
      <w:r>
        <w:rPr>
          <w:spacing w:val="-3"/>
        </w:rPr>
        <w:t> </w:t>
      </w:r>
      <w:r>
        <w:rPr/>
        <w:t>internacional de</w:t>
      </w:r>
      <w:r>
        <w:rPr>
          <w:spacing w:val="-4"/>
        </w:rPr>
        <w:t> </w:t>
      </w:r>
      <w:r>
        <w:rPr/>
        <w:t>qualidade</w:t>
      </w:r>
      <w:r>
        <w:rPr>
          <w:spacing w:val="-1"/>
        </w:rPr>
        <w:t> </w:t>
      </w:r>
      <w:r>
        <w:rPr/>
        <w:t>em</w:t>
      </w:r>
      <w:r>
        <w:rPr>
          <w:spacing w:val="-3"/>
        </w:rPr>
        <w:t> </w:t>
      </w:r>
      <w:r>
        <w:rPr/>
        <w:t>pesquisa</w:t>
      </w:r>
      <w:r>
        <w:rPr>
          <w:spacing w:val="-5"/>
        </w:rPr>
        <w:t> </w:t>
      </w:r>
      <w:r>
        <w:rPr/>
        <w:t>de</w:t>
      </w:r>
      <w:r>
        <w:rPr>
          <w:spacing w:val="-1"/>
        </w:rPr>
        <w:t> </w:t>
      </w:r>
      <w:r>
        <w:rPr/>
        <w:t>mercado</w:t>
      </w:r>
      <w:r>
        <w:rPr>
          <w:spacing w:val="-3"/>
        </w:rPr>
        <w:t> </w:t>
      </w:r>
      <w:r>
        <w:rPr/>
        <w:t>e</w:t>
      </w:r>
      <w:r>
        <w:rPr>
          <w:spacing w:val="-1"/>
        </w:rPr>
        <w:t> </w:t>
      </w:r>
      <w:r>
        <w:rPr/>
        <w:t>opinião</w:t>
      </w:r>
      <w:r>
        <w:rPr>
          <w:spacing w:val="-3"/>
        </w:rPr>
        <w:t> </w:t>
      </w:r>
      <w:r>
        <w:rPr/>
        <w:t>(ISO</w:t>
      </w:r>
      <w:r>
        <w:rPr>
          <w:spacing w:val="-5"/>
        </w:rPr>
        <w:t> </w:t>
      </w:r>
      <w:r>
        <w:rPr/>
        <w:t>20.252)</w:t>
      </w:r>
      <w:r>
        <w:rPr>
          <w:spacing w:val="-2"/>
        </w:rPr>
        <w:t> </w:t>
      </w:r>
      <w:r>
        <w:rPr/>
        <w:t>e</w:t>
      </w:r>
      <w:r>
        <w:rPr>
          <w:spacing w:val="-1"/>
        </w:rPr>
        <w:t> </w:t>
      </w:r>
      <w:r>
        <w:rPr/>
        <w:t>a</w:t>
      </w:r>
      <w:r>
        <w:rPr>
          <w:spacing w:val="-1"/>
        </w:rPr>
        <w:t> </w:t>
      </w:r>
      <w:r>
        <w:rPr/>
        <w:t>norma</w:t>
      </w:r>
      <w:r>
        <w:rPr>
          <w:spacing w:val="-1"/>
        </w:rPr>
        <w:t> </w:t>
      </w:r>
      <w:r>
        <w:rPr/>
        <w:t>internacional</w:t>
      </w:r>
      <w:r>
        <w:rPr>
          <w:spacing w:val="-2"/>
        </w:rPr>
        <w:t> </w:t>
      </w:r>
      <w:r>
        <w:rPr/>
        <w:t>de</w:t>
      </w:r>
      <w:r>
        <w:rPr>
          <w:spacing w:val="-4"/>
        </w:rPr>
        <w:t> </w:t>
      </w:r>
      <w:r>
        <w:rPr/>
        <w:t>gestão</w:t>
      </w:r>
      <w:r>
        <w:rPr>
          <w:spacing w:val="-3"/>
        </w:rPr>
        <w:t> </w:t>
      </w:r>
      <w:r>
        <w:rPr/>
        <w:t>de</w:t>
      </w:r>
      <w:r>
        <w:rPr>
          <w:spacing w:val="-1"/>
        </w:rPr>
        <w:t> </w:t>
      </w:r>
      <w:r>
        <w:rPr/>
        <w:t>qualidade</w:t>
      </w:r>
      <w:r>
        <w:rPr>
          <w:spacing w:val="-4"/>
        </w:rPr>
        <w:t> </w:t>
      </w:r>
      <w:r>
        <w:rPr/>
        <w:t>(ISO </w:t>
      </w:r>
      <w:r>
        <w:rPr>
          <w:spacing w:val="-2"/>
        </w:rPr>
        <w:t>9001).</w:t>
      </w:r>
    </w:p>
    <w:p>
      <w:pPr>
        <w:pStyle w:val="BodyText"/>
        <w:spacing w:after="0" w:line="276" w:lineRule="auto"/>
        <w:jc w:val="both"/>
        <w:sectPr>
          <w:pgSz w:w="11910" w:h="16840"/>
          <w:pgMar w:header="737" w:footer="1652" w:top="2180" w:bottom="1840" w:left="708" w:right="708"/>
        </w:sectPr>
      </w:pPr>
    </w:p>
    <w:p>
      <w:pPr>
        <w:pStyle w:val="BodyText"/>
      </w:pPr>
    </w:p>
    <w:p>
      <w:pPr>
        <w:pStyle w:val="BodyText"/>
        <w:spacing w:before="243"/>
      </w:pPr>
    </w:p>
    <w:p>
      <w:pPr>
        <w:pStyle w:val="Heading2"/>
        <w:numPr>
          <w:ilvl w:val="1"/>
          <w:numId w:val="1"/>
        </w:numPr>
        <w:tabs>
          <w:tab w:pos="474" w:val="left" w:leader="none"/>
        </w:tabs>
        <w:spacing w:line="240" w:lineRule="auto" w:before="0" w:after="0"/>
        <w:ind w:left="474" w:right="0" w:hanging="330"/>
        <w:jc w:val="left"/>
      </w:pPr>
      <w:r>
        <w:rPr/>
        <w:t>-</w:t>
      </w:r>
      <w:r>
        <w:rPr>
          <w:spacing w:val="-4"/>
        </w:rPr>
        <w:t> </w:t>
      </w:r>
      <w:r>
        <w:rPr/>
        <w:t>DIMENSIONAMENTO</w:t>
      </w:r>
      <w:r>
        <w:rPr>
          <w:spacing w:val="-5"/>
        </w:rPr>
        <w:t> </w:t>
      </w:r>
      <w:r>
        <w:rPr/>
        <w:t>DA</w:t>
      </w:r>
      <w:r>
        <w:rPr>
          <w:spacing w:val="-2"/>
        </w:rPr>
        <w:t> AMOSTRA</w:t>
      </w:r>
    </w:p>
    <w:p>
      <w:pPr>
        <w:pStyle w:val="BodyText"/>
        <w:spacing w:before="11"/>
        <w:rPr>
          <w:b/>
        </w:rPr>
      </w:pPr>
    </w:p>
    <w:p>
      <w:pPr>
        <w:pStyle w:val="BodyText"/>
        <w:spacing w:line="278" w:lineRule="auto"/>
        <w:ind w:left="144" w:right="141"/>
        <w:jc w:val="both"/>
      </w:pPr>
      <w:r>
        <w:rPr/>
        <w:t>A amostra foi dimensionada em 2.600 entrevistas considerando a otimização de recursos e capacidade de coleta em curto período.</w:t>
      </w:r>
    </w:p>
    <w:p>
      <w:pPr>
        <w:pStyle w:val="BodyText"/>
        <w:spacing w:before="89"/>
      </w:pPr>
    </w:p>
    <w:p>
      <w:pPr>
        <w:pStyle w:val="Heading2"/>
        <w:numPr>
          <w:ilvl w:val="1"/>
          <w:numId w:val="1"/>
        </w:numPr>
        <w:tabs>
          <w:tab w:pos="474" w:val="left" w:leader="none"/>
        </w:tabs>
        <w:spacing w:line="240" w:lineRule="auto" w:before="0" w:after="0"/>
        <w:ind w:left="474" w:right="0" w:hanging="330"/>
        <w:jc w:val="left"/>
      </w:pPr>
      <w:r>
        <w:rPr/>
        <w:t>-</w:t>
      </w:r>
      <w:r>
        <w:rPr>
          <w:spacing w:val="-3"/>
        </w:rPr>
        <w:t> </w:t>
      </w:r>
      <w:r>
        <w:rPr/>
        <w:t>MÉTODOS</w:t>
      </w:r>
      <w:r>
        <w:rPr>
          <w:spacing w:val="-3"/>
        </w:rPr>
        <w:t> </w:t>
      </w:r>
      <w:r>
        <w:rPr/>
        <w:t>PARA</w:t>
      </w:r>
      <w:r>
        <w:rPr>
          <w:spacing w:val="-5"/>
        </w:rPr>
        <w:t> </w:t>
      </w:r>
      <w:r>
        <w:rPr/>
        <w:t>OBTENÇÃO</w:t>
      </w:r>
      <w:r>
        <w:rPr>
          <w:spacing w:val="-4"/>
        </w:rPr>
        <w:t> </w:t>
      </w:r>
      <w:r>
        <w:rPr/>
        <w:t>DA</w:t>
      </w:r>
      <w:r>
        <w:rPr>
          <w:spacing w:val="-1"/>
        </w:rPr>
        <w:t> </w:t>
      </w:r>
      <w:r>
        <w:rPr>
          <w:spacing w:val="-2"/>
        </w:rPr>
        <w:t>AMOSTRA</w:t>
      </w:r>
    </w:p>
    <w:p>
      <w:pPr>
        <w:pStyle w:val="BodyText"/>
        <w:spacing w:before="10"/>
        <w:rPr>
          <w:b/>
        </w:rPr>
      </w:pPr>
    </w:p>
    <w:p>
      <w:pPr>
        <w:pStyle w:val="BodyText"/>
        <w:spacing w:line="276" w:lineRule="auto" w:before="1"/>
        <w:ind w:left="144" w:right="140"/>
        <w:jc w:val="both"/>
      </w:pPr>
      <w:r>
        <w:rPr/>
        <w:t>O plano amostral empregado para a obtenção da amostra de respondentes foi do tipo amostragem de cotas. As cotas foram estabelecidas considerando sexo, faixa etária, escolaridade, macrorregião e classe social, e foram aplicadas para indicar os indivíduos a serem abordados para coleta pela </w:t>
      </w:r>
      <w:r>
        <w:rPr>
          <w:i/>
        </w:rPr>
        <w:t>web </w:t>
      </w:r>
      <w:r>
        <w:rPr/>
        <w:t>e para os contatados por meio </w:t>
      </w:r>
      <w:r>
        <w:rPr>
          <w:spacing w:val="-2"/>
        </w:rPr>
        <w:t>telefônico. A alocação da amostra</w:t>
      </w:r>
      <w:r>
        <w:rPr>
          <w:spacing w:val="-3"/>
        </w:rPr>
        <w:t> </w:t>
      </w:r>
      <w:r>
        <w:rPr>
          <w:spacing w:val="-2"/>
        </w:rPr>
        <w:t>segundo os critérios estabelecidos foi desproporcional às informações constantes </w:t>
      </w:r>
      <w:r>
        <w:rPr/>
        <w:t>no cadastro, dada a necessidade de atender à demanda por informações para todos os domínios de interesse. A amostra resultante deste esforço de coleta é daqui por diante denominada Painel TIC COVID-19.</w:t>
      </w:r>
    </w:p>
    <w:p>
      <w:pPr>
        <w:pStyle w:val="BodyText"/>
        <w:spacing w:before="211"/>
      </w:pPr>
    </w:p>
    <w:p>
      <w:pPr>
        <w:pStyle w:val="Heading1"/>
        <w:numPr>
          <w:ilvl w:val="0"/>
          <w:numId w:val="1"/>
        </w:numPr>
        <w:tabs>
          <w:tab w:pos="319" w:val="left" w:leader="none"/>
        </w:tabs>
        <w:spacing w:line="240" w:lineRule="auto" w:before="0" w:after="0"/>
        <w:ind w:left="319" w:right="0" w:hanging="175"/>
        <w:jc w:val="both"/>
      </w:pPr>
      <w:r>
        <w:rPr/>
        <w:t>-</w:t>
      </w:r>
      <w:r>
        <w:rPr>
          <w:spacing w:val="-4"/>
        </w:rPr>
        <w:t> </w:t>
      </w:r>
      <w:r>
        <w:rPr/>
        <w:t>COLETA</w:t>
      </w:r>
      <w:r>
        <w:rPr>
          <w:spacing w:val="-1"/>
        </w:rPr>
        <w:t> </w:t>
      </w:r>
      <w:r>
        <w:rPr/>
        <w:t>DE</w:t>
      </w:r>
      <w:r>
        <w:rPr>
          <w:spacing w:val="-1"/>
        </w:rPr>
        <w:t> </w:t>
      </w:r>
      <w:r>
        <w:rPr/>
        <w:t>DADOS</w:t>
      </w:r>
      <w:r>
        <w:rPr>
          <w:spacing w:val="-1"/>
        </w:rPr>
        <w:t> </w:t>
      </w:r>
      <w:r>
        <w:rPr/>
        <w:t>EM</w:t>
      </w:r>
      <w:r>
        <w:rPr>
          <w:spacing w:val="-2"/>
        </w:rPr>
        <w:t> </w:t>
      </w:r>
      <w:r>
        <w:rPr>
          <w:spacing w:val="-4"/>
        </w:rPr>
        <w:t>CAMPO</w:t>
      </w:r>
    </w:p>
    <w:p>
      <w:pPr>
        <w:pStyle w:val="BodyText"/>
        <w:spacing w:before="114"/>
        <w:rPr>
          <w:b/>
          <w:sz w:val="24"/>
        </w:rPr>
      </w:pPr>
    </w:p>
    <w:p>
      <w:pPr>
        <w:pStyle w:val="Heading2"/>
        <w:numPr>
          <w:ilvl w:val="1"/>
          <w:numId w:val="1"/>
        </w:numPr>
        <w:tabs>
          <w:tab w:pos="474" w:val="left" w:leader="none"/>
        </w:tabs>
        <w:spacing w:line="240" w:lineRule="auto" w:before="0" w:after="0"/>
        <w:ind w:left="474" w:right="0" w:hanging="330"/>
        <w:jc w:val="left"/>
      </w:pPr>
      <w:r>
        <w:rPr/>
        <w:t>-</w:t>
      </w:r>
      <w:r>
        <w:rPr>
          <w:spacing w:val="-3"/>
        </w:rPr>
        <w:t> </w:t>
      </w:r>
      <w:r>
        <w:rPr/>
        <w:t>MÉTODO</w:t>
      </w:r>
      <w:r>
        <w:rPr>
          <w:spacing w:val="-4"/>
        </w:rPr>
        <w:t> </w:t>
      </w:r>
      <w:r>
        <w:rPr/>
        <w:t>DE</w:t>
      </w:r>
      <w:r>
        <w:rPr>
          <w:spacing w:val="-3"/>
        </w:rPr>
        <w:t> </w:t>
      </w:r>
      <w:r>
        <w:rPr>
          <w:spacing w:val="-2"/>
        </w:rPr>
        <w:t>COLETA</w:t>
      </w:r>
    </w:p>
    <w:p>
      <w:pPr>
        <w:pStyle w:val="BodyText"/>
        <w:spacing w:before="11"/>
        <w:rPr>
          <w:b/>
        </w:rPr>
      </w:pPr>
    </w:p>
    <w:p>
      <w:pPr>
        <w:spacing w:line="276" w:lineRule="auto" w:before="0"/>
        <w:ind w:left="144" w:right="133" w:firstLine="0"/>
        <w:jc w:val="both"/>
        <w:rPr>
          <w:sz w:val="22"/>
        </w:rPr>
      </w:pPr>
      <w:r>
        <w:rPr>
          <w:sz w:val="22"/>
        </w:rPr>
        <w:t>Os</w:t>
      </w:r>
      <w:r>
        <w:rPr>
          <w:spacing w:val="-10"/>
          <w:sz w:val="22"/>
        </w:rPr>
        <w:t> </w:t>
      </w:r>
      <w:r>
        <w:rPr>
          <w:sz w:val="22"/>
        </w:rPr>
        <w:t>dados</w:t>
      </w:r>
      <w:r>
        <w:rPr>
          <w:spacing w:val="-10"/>
          <w:sz w:val="22"/>
        </w:rPr>
        <w:t> </w:t>
      </w:r>
      <w:r>
        <w:rPr>
          <w:sz w:val="22"/>
        </w:rPr>
        <w:t>foram</w:t>
      </w:r>
      <w:r>
        <w:rPr>
          <w:spacing w:val="-8"/>
          <w:sz w:val="22"/>
        </w:rPr>
        <w:t> </w:t>
      </w:r>
      <w:r>
        <w:rPr>
          <w:sz w:val="22"/>
        </w:rPr>
        <w:t>coletados</w:t>
      </w:r>
      <w:r>
        <w:rPr>
          <w:spacing w:val="-10"/>
          <w:sz w:val="22"/>
        </w:rPr>
        <w:t> </w:t>
      </w:r>
      <w:r>
        <w:rPr>
          <w:sz w:val="22"/>
        </w:rPr>
        <w:t>por</w:t>
      </w:r>
      <w:r>
        <w:rPr>
          <w:spacing w:val="-12"/>
          <w:sz w:val="22"/>
        </w:rPr>
        <w:t> </w:t>
      </w:r>
      <w:r>
        <w:rPr>
          <w:sz w:val="22"/>
        </w:rPr>
        <w:t>meio</w:t>
      </w:r>
      <w:r>
        <w:rPr>
          <w:spacing w:val="-12"/>
          <w:sz w:val="22"/>
        </w:rPr>
        <w:t> </w:t>
      </w:r>
      <w:r>
        <w:rPr>
          <w:sz w:val="22"/>
        </w:rPr>
        <w:t>de</w:t>
      </w:r>
      <w:r>
        <w:rPr>
          <w:spacing w:val="-9"/>
          <w:sz w:val="22"/>
        </w:rPr>
        <w:t> </w:t>
      </w:r>
      <w:r>
        <w:rPr>
          <w:sz w:val="22"/>
        </w:rPr>
        <w:t>questionários</w:t>
      </w:r>
      <w:r>
        <w:rPr>
          <w:spacing w:val="-10"/>
          <w:sz w:val="22"/>
        </w:rPr>
        <w:t> </w:t>
      </w:r>
      <w:r>
        <w:rPr>
          <w:sz w:val="22"/>
        </w:rPr>
        <w:t>estruturados.</w:t>
      </w:r>
      <w:r>
        <w:rPr>
          <w:spacing w:val="-8"/>
          <w:sz w:val="22"/>
        </w:rPr>
        <w:t> </w:t>
      </w:r>
      <w:r>
        <w:rPr>
          <w:sz w:val="22"/>
        </w:rPr>
        <w:t>Foram</w:t>
      </w:r>
      <w:r>
        <w:rPr>
          <w:spacing w:val="-8"/>
          <w:sz w:val="22"/>
        </w:rPr>
        <w:t> </w:t>
      </w:r>
      <w:r>
        <w:rPr>
          <w:sz w:val="22"/>
        </w:rPr>
        <w:t>utilizados</w:t>
      </w:r>
      <w:r>
        <w:rPr>
          <w:spacing w:val="-10"/>
          <w:sz w:val="22"/>
        </w:rPr>
        <w:t> </w:t>
      </w:r>
      <w:r>
        <w:rPr>
          <w:sz w:val="22"/>
        </w:rPr>
        <w:t>dois</w:t>
      </w:r>
      <w:r>
        <w:rPr>
          <w:spacing w:val="-10"/>
          <w:sz w:val="22"/>
        </w:rPr>
        <w:t> </w:t>
      </w:r>
      <w:r>
        <w:rPr>
          <w:sz w:val="22"/>
        </w:rPr>
        <w:t>modos</w:t>
      </w:r>
      <w:r>
        <w:rPr>
          <w:spacing w:val="-10"/>
          <w:sz w:val="22"/>
        </w:rPr>
        <w:t> </w:t>
      </w:r>
      <w:r>
        <w:rPr>
          <w:sz w:val="22"/>
        </w:rPr>
        <w:t>de</w:t>
      </w:r>
      <w:r>
        <w:rPr>
          <w:spacing w:val="-13"/>
          <w:sz w:val="22"/>
        </w:rPr>
        <w:t> </w:t>
      </w:r>
      <w:r>
        <w:rPr>
          <w:sz w:val="22"/>
        </w:rPr>
        <w:t>coleta:</w:t>
      </w:r>
      <w:r>
        <w:rPr>
          <w:spacing w:val="-6"/>
          <w:sz w:val="22"/>
        </w:rPr>
        <w:t> </w:t>
      </w:r>
      <w:r>
        <w:rPr>
          <w:sz w:val="22"/>
        </w:rPr>
        <w:t>CATI</w:t>
      </w:r>
      <w:r>
        <w:rPr>
          <w:spacing w:val="-12"/>
          <w:sz w:val="22"/>
        </w:rPr>
        <w:t> </w:t>
      </w:r>
      <w:r>
        <w:rPr>
          <w:sz w:val="22"/>
        </w:rPr>
        <w:t>(do inglês, </w:t>
      </w:r>
      <w:r>
        <w:rPr>
          <w:i/>
          <w:sz w:val="22"/>
        </w:rPr>
        <w:t>computer-assisted telephone interviewing</w:t>
      </w:r>
      <w:r>
        <w:rPr>
          <w:sz w:val="22"/>
        </w:rPr>
        <w:t>), que consiste na aplicação de questionário estruturado e programado em computador por meio telefônico, e CAWI (do inglês, </w:t>
      </w:r>
      <w:r>
        <w:rPr>
          <w:i/>
          <w:sz w:val="22"/>
        </w:rPr>
        <w:t>computer-assisted web interviewing</w:t>
      </w:r>
      <w:r>
        <w:rPr>
          <w:sz w:val="22"/>
        </w:rPr>
        <w:t>), que utiliza um questionário programado e autoaplicado via questionário </w:t>
      </w:r>
      <w:r>
        <w:rPr>
          <w:i/>
          <w:sz w:val="22"/>
        </w:rPr>
        <w:t>on-line</w:t>
      </w:r>
      <w:r>
        <w:rPr>
          <w:sz w:val="22"/>
        </w:rPr>
        <w:t>.</w:t>
      </w:r>
    </w:p>
    <w:p>
      <w:pPr>
        <w:pStyle w:val="BodyText"/>
        <w:spacing w:before="213"/>
      </w:pPr>
    </w:p>
    <w:p>
      <w:pPr>
        <w:pStyle w:val="Heading1"/>
        <w:numPr>
          <w:ilvl w:val="0"/>
          <w:numId w:val="1"/>
        </w:numPr>
        <w:tabs>
          <w:tab w:pos="319" w:val="left" w:leader="none"/>
        </w:tabs>
        <w:spacing w:line="240" w:lineRule="auto" w:before="0" w:after="0"/>
        <w:ind w:left="319" w:right="0" w:hanging="175"/>
        <w:jc w:val="both"/>
      </w:pPr>
      <w:r>
        <w:rPr/>
        <w:t>-</w:t>
      </w:r>
      <w:r>
        <w:rPr>
          <w:spacing w:val="-4"/>
        </w:rPr>
        <w:t> </w:t>
      </w:r>
      <w:r>
        <w:rPr/>
        <w:t>PROCESSAMENTO</w:t>
      </w:r>
      <w:r>
        <w:rPr>
          <w:spacing w:val="-1"/>
        </w:rPr>
        <w:t> </w:t>
      </w:r>
      <w:r>
        <w:rPr/>
        <w:t>DE</w:t>
      </w:r>
      <w:r>
        <w:rPr>
          <w:spacing w:val="-3"/>
        </w:rPr>
        <w:t> </w:t>
      </w:r>
      <w:r>
        <w:rPr>
          <w:spacing w:val="-4"/>
        </w:rPr>
        <w:t>DADOS</w:t>
      </w:r>
    </w:p>
    <w:p>
      <w:pPr>
        <w:pStyle w:val="BodyText"/>
        <w:spacing w:before="110"/>
        <w:rPr>
          <w:b/>
          <w:sz w:val="24"/>
        </w:rPr>
      </w:pPr>
    </w:p>
    <w:p>
      <w:pPr>
        <w:pStyle w:val="Heading2"/>
        <w:numPr>
          <w:ilvl w:val="1"/>
          <w:numId w:val="1"/>
        </w:numPr>
        <w:tabs>
          <w:tab w:pos="474" w:val="left" w:leader="none"/>
        </w:tabs>
        <w:spacing w:line="240" w:lineRule="auto" w:before="0" w:after="0"/>
        <w:ind w:left="474" w:right="0" w:hanging="330"/>
        <w:jc w:val="left"/>
      </w:pPr>
      <w:r>
        <w:rPr/>
        <w:t>-</w:t>
      </w:r>
      <w:r>
        <w:rPr>
          <w:spacing w:val="-5"/>
        </w:rPr>
        <w:t> </w:t>
      </w:r>
      <w:r>
        <w:rPr/>
        <w:t>PROCEDIMENTOS</w:t>
      </w:r>
      <w:r>
        <w:rPr>
          <w:spacing w:val="-5"/>
        </w:rPr>
        <w:t> </w:t>
      </w:r>
      <w:r>
        <w:rPr/>
        <w:t>DE</w:t>
      </w:r>
      <w:r>
        <w:rPr>
          <w:spacing w:val="-5"/>
        </w:rPr>
        <w:t> </w:t>
      </w:r>
      <w:r>
        <w:rPr>
          <w:spacing w:val="-2"/>
        </w:rPr>
        <w:t>PONDERAÇÃO</w:t>
      </w:r>
    </w:p>
    <w:p>
      <w:pPr>
        <w:pStyle w:val="BodyText"/>
        <w:spacing w:before="10"/>
        <w:rPr>
          <w:b/>
        </w:rPr>
      </w:pPr>
    </w:p>
    <w:p>
      <w:pPr>
        <w:pStyle w:val="BodyText"/>
        <w:spacing w:line="276" w:lineRule="auto" w:before="1"/>
        <w:ind w:left="144" w:right="137"/>
        <w:jc w:val="both"/>
      </w:pPr>
      <w:r>
        <w:rPr/>
        <w:t>Pesquisas amostrais com utilização de cotas para seleção de respondentes são classificadas como não probabilísticas. Tipicamente, tais estratégias não permitem o cálculo de erros amostrais e podem carregar alguns vieses</w:t>
      </w:r>
      <w:r>
        <w:rPr>
          <w:spacing w:val="-13"/>
        </w:rPr>
        <w:t> </w:t>
      </w:r>
      <w:r>
        <w:rPr/>
        <w:t>de</w:t>
      </w:r>
      <w:r>
        <w:rPr>
          <w:spacing w:val="-12"/>
        </w:rPr>
        <w:t> </w:t>
      </w:r>
      <w:r>
        <w:rPr/>
        <w:t>seleção,</w:t>
      </w:r>
      <w:r>
        <w:rPr>
          <w:spacing w:val="-13"/>
        </w:rPr>
        <w:t> </w:t>
      </w:r>
      <w:r>
        <w:rPr/>
        <w:t>na</w:t>
      </w:r>
      <w:r>
        <w:rPr>
          <w:spacing w:val="-12"/>
        </w:rPr>
        <w:t> </w:t>
      </w:r>
      <w:r>
        <w:rPr/>
        <w:t>medida</w:t>
      </w:r>
      <w:r>
        <w:rPr>
          <w:spacing w:val="-13"/>
        </w:rPr>
        <w:t> </w:t>
      </w:r>
      <w:r>
        <w:rPr/>
        <w:t>em</w:t>
      </w:r>
      <w:r>
        <w:rPr>
          <w:spacing w:val="-12"/>
        </w:rPr>
        <w:t> </w:t>
      </w:r>
      <w:r>
        <w:rPr/>
        <w:t>que</w:t>
      </w:r>
      <w:r>
        <w:rPr>
          <w:spacing w:val="-13"/>
        </w:rPr>
        <w:t> </w:t>
      </w:r>
      <w:r>
        <w:rPr/>
        <w:t>as</w:t>
      </w:r>
      <w:r>
        <w:rPr>
          <w:spacing w:val="-12"/>
        </w:rPr>
        <w:t> </w:t>
      </w:r>
      <w:r>
        <w:rPr/>
        <w:t>probabilidades</w:t>
      </w:r>
      <w:r>
        <w:rPr>
          <w:spacing w:val="-12"/>
        </w:rPr>
        <w:t> </w:t>
      </w:r>
      <w:r>
        <w:rPr/>
        <w:t>de</w:t>
      </w:r>
      <w:r>
        <w:rPr>
          <w:spacing w:val="-13"/>
        </w:rPr>
        <w:t> </w:t>
      </w:r>
      <w:r>
        <w:rPr/>
        <w:t>seleção</w:t>
      </w:r>
      <w:r>
        <w:rPr>
          <w:spacing w:val="-12"/>
        </w:rPr>
        <w:t> </w:t>
      </w:r>
      <w:r>
        <w:rPr/>
        <w:t>de</w:t>
      </w:r>
      <w:r>
        <w:rPr>
          <w:spacing w:val="-13"/>
        </w:rPr>
        <w:t> </w:t>
      </w:r>
      <w:r>
        <w:rPr/>
        <w:t>cada</w:t>
      </w:r>
      <w:r>
        <w:rPr>
          <w:spacing w:val="-12"/>
        </w:rPr>
        <w:t> </w:t>
      </w:r>
      <w:r>
        <w:rPr/>
        <w:t>unidade</w:t>
      </w:r>
      <w:r>
        <w:rPr>
          <w:spacing w:val="-13"/>
        </w:rPr>
        <w:t> </w:t>
      </w:r>
      <w:r>
        <w:rPr/>
        <w:t>não</w:t>
      </w:r>
      <w:r>
        <w:rPr>
          <w:spacing w:val="-12"/>
        </w:rPr>
        <w:t> </w:t>
      </w:r>
      <w:r>
        <w:rPr/>
        <w:t>são</w:t>
      </w:r>
      <w:r>
        <w:rPr>
          <w:spacing w:val="-12"/>
        </w:rPr>
        <w:t> </w:t>
      </w:r>
      <w:r>
        <w:rPr/>
        <w:t>conhecidas.</w:t>
      </w:r>
      <w:r>
        <w:rPr>
          <w:spacing w:val="-13"/>
        </w:rPr>
        <w:t> </w:t>
      </w:r>
      <w:r>
        <w:rPr/>
        <w:t>Abordagens não probabilísticas são usuais em pesquisas de opinião, de intenção de voto, de avaliação de produtos e de satisfação de clientes. Tais pesquisas contam, em geral, com períodos de coleta mais curtos e com menores orçamentos, mas não seguem o rigor habitual dos métodos de amostragem probabilística para obtenção das </w:t>
      </w:r>
      <w:r>
        <w:rPr>
          <w:spacing w:val="-2"/>
        </w:rPr>
        <w:t>amostras.</w:t>
      </w:r>
    </w:p>
    <w:p>
      <w:pPr>
        <w:pStyle w:val="BodyText"/>
        <w:spacing w:line="276" w:lineRule="auto" w:before="242"/>
        <w:ind w:left="144" w:right="145"/>
        <w:jc w:val="both"/>
      </w:pPr>
      <w:r>
        <w:rPr/>
        <w:t>Recentemente, a crescente demanda por informações mais frequentes e desagregadas, além da emergência de novas</w:t>
      </w:r>
      <w:r>
        <w:rPr>
          <w:spacing w:val="-6"/>
        </w:rPr>
        <w:t> </w:t>
      </w:r>
      <w:r>
        <w:rPr/>
        <w:t>fontes</w:t>
      </w:r>
      <w:r>
        <w:rPr>
          <w:spacing w:val="-6"/>
        </w:rPr>
        <w:t> </w:t>
      </w:r>
      <w:r>
        <w:rPr/>
        <w:t>de</w:t>
      </w:r>
      <w:r>
        <w:rPr>
          <w:spacing w:val="-9"/>
        </w:rPr>
        <w:t> </w:t>
      </w:r>
      <w:r>
        <w:rPr/>
        <w:t>informação</w:t>
      </w:r>
      <w:r>
        <w:rPr>
          <w:spacing w:val="-5"/>
        </w:rPr>
        <w:t> </w:t>
      </w:r>
      <w:r>
        <w:rPr/>
        <w:t>(tipo</w:t>
      </w:r>
      <w:r>
        <w:rPr>
          <w:spacing w:val="-6"/>
        </w:rPr>
        <w:t> </w:t>
      </w:r>
      <w:r>
        <w:rPr>
          <w:i/>
        </w:rPr>
        <w:t>Big</w:t>
      </w:r>
      <w:r>
        <w:rPr>
          <w:i/>
          <w:spacing w:val="-9"/>
        </w:rPr>
        <w:t> </w:t>
      </w:r>
      <w:r>
        <w:rPr>
          <w:i/>
        </w:rPr>
        <w:t>Data</w:t>
      </w:r>
      <w:r>
        <w:rPr/>
        <w:t>),</w:t>
      </w:r>
      <w:r>
        <w:rPr>
          <w:spacing w:val="-7"/>
        </w:rPr>
        <w:t> </w:t>
      </w:r>
      <w:r>
        <w:rPr/>
        <w:t>tem</w:t>
      </w:r>
      <w:r>
        <w:rPr>
          <w:spacing w:val="-8"/>
        </w:rPr>
        <w:t> </w:t>
      </w:r>
      <w:r>
        <w:rPr/>
        <w:t>impulsionado</w:t>
      </w:r>
      <w:r>
        <w:rPr>
          <w:spacing w:val="-8"/>
        </w:rPr>
        <w:t> </w:t>
      </w:r>
      <w:r>
        <w:rPr/>
        <w:t>inúmeros</w:t>
      </w:r>
      <w:r>
        <w:rPr>
          <w:spacing w:val="-3"/>
        </w:rPr>
        <w:t> </w:t>
      </w:r>
      <w:r>
        <w:rPr/>
        <w:t>estudos</w:t>
      </w:r>
      <w:r>
        <w:rPr>
          <w:spacing w:val="-6"/>
        </w:rPr>
        <w:t> </w:t>
      </w:r>
      <w:r>
        <w:rPr/>
        <w:t>que</w:t>
      </w:r>
      <w:r>
        <w:rPr>
          <w:spacing w:val="-10"/>
        </w:rPr>
        <w:t> </w:t>
      </w:r>
      <w:r>
        <w:rPr/>
        <w:t>tentam</w:t>
      </w:r>
      <w:r>
        <w:rPr>
          <w:spacing w:val="-8"/>
        </w:rPr>
        <w:t> </w:t>
      </w:r>
      <w:r>
        <w:rPr/>
        <w:t>atribuir</w:t>
      </w:r>
      <w:r>
        <w:rPr>
          <w:spacing w:val="-9"/>
        </w:rPr>
        <w:t> </w:t>
      </w:r>
      <w:r>
        <w:rPr/>
        <w:t>estruturas</w:t>
      </w:r>
      <w:r>
        <w:rPr>
          <w:spacing w:val="-6"/>
        </w:rPr>
        <w:t> </w:t>
      </w:r>
      <w:r>
        <w:rPr/>
        <w:t>de</w:t>
      </w:r>
    </w:p>
    <w:p>
      <w:pPr>
        <w:pStyle w:val="BodyText"/>
        <w:spacing w:after="0" w:line="276" w:lineRule="auto"/>
        <w:jc w:val="both"/>
        <w:sectPr>
          <w:pgSz w:w="11910" w:h="16840"/>
          <w:pgMar w:header="737" w:footer="1652" w:top="2180" w:bottom="1840" w:left="708" w:right="708"/>
        </w:sectPr>
      </w:pPr>
    </w:p>
    <w:p>
      <w:pPr>
        <w:pStyle w:val="BodyText"/>
      </w:pPr>
    </w:p>
    <w:p>
      <w:pPr>
        <w:pStyle w:val="BodyText"/>
        <w:spacing w:before="243"/>
      </w:pPr>
    </w:p>
    <w:p>
      <w:pPr>
        <w:pStyle w:val="BodyText"/>
        <w:spacing w:line="276" w:lineRule="auto"/>
        <w:ind w:left="144" w:right="138"/>
        <w:jc w:val="both"/>
      </w:pPr>
      <w:r>
        <w:rPr/>
        <w:t>pesos que</w:t>
      </w:r>
      <w:r>
        <w:rPr>
          <w:spacing w:val="-1"/>
        </w:rPr>
        <w:t> </w:t>
      </w:r>
      <w:r>
        <w:rPr/>
        <w:t>permitam amenizar os vieses de bases de</w:t>
      </w:r>
      <w:r>
        <w:rPr>
          <w:spacing w:val="-1"/>
        </w:rPr>
        <w:t> </w:t>
      </w:r>
      <w:r>
        <w:rPr/>
        <w:t>dados coletadas por métodos não tradicionais. Em geral, tais estudos utilizam uma pesquisa amostral ou censo tradicional como referência para o cálculo de pesos para as observações</w:t>
      </w:r>
      <w:r>
        <w:rPr>
          <w:spacing w:val="-5"/>
        </w:rPr>
        <w:t> </w:t>
      </w:r>
      <w:r>
        <w:rPr/>
        <w:t>da</w:t>
      </w:r>
      <w:r>
        <w:rPr>
          <w:spacing w:val="-4"/>
        </w:rPr>
        <w:t> </w:t>
      </w:r>
      <w:r>
        <w:rPr/>
        <w:t>amostra</w:t>
      </w:r>
      <w:r>
        <w:rPr>
          <w:spacing w:val="-5"/>
        </w:rPr>
        <w:t> </w:t>
      </w:r>
      <w:r>
        <w:rPr/>
        <w:t>não</w:t>
      </w:r>
      <w:r>
        <w:rPr>
          <w:spacing w:val="-4"/>
        </w:rPr>
        <w:t> </w:t>
      </w:r>
      <w:r>
        <w:rPr/>
        <w:t>probabilística,</w:t>
      </w:r>
      <w:r>
        <w:rPr>
          <w:spacing w:val="-6"/>
        </w:rPr>
        <w:t> </w:t>
      </w:r>
      <w:r>
        <w:rPr/>
        <w:t>que</w:t>
      </w:r>
      <w:r>
        <w:rPr>
          <w:spacing w:val="-9"/>
        </w:rPr>
        <w:t> </w:t>
      </w:r>
      <w:r>
        <w:rPr/>
        <w:t>então</w:t>
      </w:r>
      <w:r>
        <w:rPr>
          <w:spacing w:val="-4"/>
        </w:rPr>
        <w:t> </w:t>
      </w:r>
      <w:r>
        <w:rPr/>
        <w:t>servem</w:t>
      </w:r>
      <w:r>
        <w:rPr>
          <w:spacing w:val="-3"/>
        </w:rPr>
        <w:t> </w:t>
      </w:r>
      <w:r>
        <w:rPr/>
        <w:t>de</w:t>
      </w:r>
      <w:r>
        <w:rPr>
          <w:spacing w:val="-4"/>
        </w:rPr>
        <w:t> </w:t>
      </w:r>
      <w:r>
        <w:rPr/>
        <w:t>base</w:t>
      </w:r>
      <w:r>
        <w:rPr>
          <w:spacing w:val="-5"/>
        </w:rPr>
        <w:t> </w:t>
      </w:r>
      <w:r>
        <w:rPr/>
        <w:t>para</w:t>
      </w:r>
      <w:r>
        <w:rPr>
          <w:spacing w:val="-5"/>
        </w:rPr>
        <w:t> </w:t>
      </w:r>
      <w:r>
        <w:rPr/>
        <w:t>a</w:t>
      </w:r>
      <w:r>
        <w:rPr>
          <w:spacing w:val="-5"/>
        </w:rPr>
        <w:t> </w:t>
      </w:r>
      <w:r>
        <w:rPr/>
        <w:t>obtenção</w:t>
      </w:r>
      <w:r>
        <w:rPr>
          <w:spacing w:val="-7"/>
        </w:rPr>
        <w:t> </w:t>
      </w:r>
      <w:r>
        <w:rPr/>
        <w:t>de</w:t>
      </w:r>
      <w:r>
        <w:rPr>
          <w:spacing w:val="-2"/>
        </w:rPr>
        <w:t> </w:t>
      </w:r>
      <w:r>
        <w:rPr/>
        <w:t>estimativas</w:t>
      </w:r>
      <w:r>
        <w:rPr>
          <w:spacing w:val="-5"/>
        </w:rPr>
        <w:t> </w:t>
      </w:r>
      <w:r>
        <w:rPr/>
        <w:t>da</w:t>
      </w:r>
      <w:r>
        <w:rPr>
          <w:spacing w:val="-4"/>
        </w:rPr>
        <w:t> </w:t>
      </w:r>
      <w:r>
        <w:rPr/>
        <w:t>precisão, intervalos de confiança etc. Como exemplos de estudos nessa linha podem ser citados Elliott e Valliant (2017) e Valliant (2019).</w:t>
      </w:r>
    </w:p>
    <w:p>
      <w:pPr>
        <w:pStyle w:val="BodyText"/>
        <w:spacing w:line="276" w:lineRule="auto" w:before="240"/>
        <w:ind w:left="144" w:right="132"/>
        <w:jc w:val="both"/>
      </w:pPr>
      <w:r>
        <w:rPr/>
        <w:t>Para o Painel TIC COVID-19 foi utilizada como referência primária a pesquisa TIC Domicílios 2019 (CGI.br, 2020). Adicionalmente, os resultados da TIC Domicílios foram recalibrados para a população da Pesquisa Nacional por Amostra de Domicílios Contínua (PNADC), do Instituto Brasileiro de Geografia e Estatística (IBGE), referente ao primeiro trimestre de 2020. O processo de ponderação dos respondentes do Painel TIC COVID-19 foi dividido em duas etapas:</w:t>
      </w:r>
    </w:p>
    <w:p>
      <w:pPr>
        <w:pStyle w:val="ListParagraph"/>
        <w:numPr>
          <w:ilvl w:val="0"/>
          <w:numId w:val="3"/>
        </w:numPr>
        <w:tabs>
          <w:tab w:pos="862" w:val="left" w:leader="none"/>
          <w:tab w:pos="864" w:val="left" w:leader="none"/>
        </w:tabs>
        <w:spacing w:line="261" w:lineRule="auto" w:before="240" w:after="0"/>
        <w:ind w:left="864" w:right="145" w:hanging="360"/>
        <w:jc w:val="left"/>
        <w:rPr>
          <w:sz w:val="22"/>
        </w:rPr>
      </w:pPr>
      <w:r>
        <w:rPr>
          <w:sz w:val="22"/>
        </w:rPr>
        <w:t>Estimação do contingente total de usuários de Internet de 16 anos ou mais de idade no Brasil na data de referência da pesquisa que são representados pelos respondentes do Painel TIC COVID-19;</w:t>
      </w:r>
    </w:p>
    <w:p>
      <w:pPr>
        <w:pStyle w:val="ListParagraph"/>
        <w:numPr>
          <w:ilvl w:val="0"/>
          <w:numId w:val="3"/>
        </w:numPr>
        <w:tabs>
          <w:tab w:pos="862" w:val="left" w:leader="none"/>
          <w:tab w:pos="864" w:val="left" w:leader="none"/>
        </w:tabs>
        <w:spacing w:line="261" w:lineRule="auto" w:before="0" w:after="0"/>
        <w:ind w:left="864" w:right="145" w:hanging="360"/>
        <w:jc w:val="left"/>
        <w:rPr>
          <w:sz w:val="22"/>
        </w:rPr>
      </w:pPr>
      <w:r>
        <w:rPr>
          <w:sz w:val="22"/>
        </w:rPr>
        <w:t>Estimação</w:t>
      </w:r>
      <w:r>
        <w:rPr>
          <w:spacing w:val="39"/>
          <w:sz w:val="22"/>
        </w:rPr>
        <w:t> </w:t>
      </w:r>
      <w:r>
        <w:rPr>
          <w:sz w:val="22"/>
        </w:rPr>
        <w:t>de</w:t>
      </w:r>
      <w:r>
        <w:rPr>
          <w:spacing w:val="40"/>
          <w:sz w:val="22"/>
        </w:rPr>
        <w:t> </w:t>
      </w:r>
      <w:r>
        <w:rPr>
          <w:sz w:val="22"/>
        </w:rPr>
        <w:t>pseudo-probabilidades</w:t>
      </w:r>
      <w:r>
        <w:rPr>
          <w:spacing w:val="40"/>
          <w:sz w:val="22"/>
        </w:rPr>
        <w:t> </w:t>
      </w:r>
      <w:r>
        <w:rPr>
          <w:sz w:val="22"/>
        </w:rPr>
        <w:t>de</w:t>
      </w:r>
      <w:r>
        <w:rPr>
          <w:spacing w:val="40"/>
          <w:sz w:val="22"/>
        </w:rPr>
        <w:t> </w:t>
      </w:r>
      <w:r>
        <w:rPr>
          <w:sz w:val="22"/>
        </w:rPr>
        <w:t>seleção</w:t>
      </w:r>
      <w:r>
        <w:rPr>
          <w:spacing w:val="40"/>
          <w:sz w:val="22"/>
        </w:rPr>
        <w:t> </w:t>
      </w:r>
      <w:r>
        <w:rPr>
          <w:sz w:val="22"/>
        </w:rPr>
        <w:t>desses</w:t>
      </w:r>
      <w:r>
        <w:rPr>
          <w:spacing w:val="40"/>
          <w:sz w:val="22"/>
        </w:rPr>
        <w:t> </w:t>
      </w:r>
      <w:r>
        <w:rPr>
          <w:sz w:val="22"/>
        </w:rPr>
        <w:t>respondentes</w:t>
      </w:r>
      <w:r>
        <w:rPr>
          <w:spacing w:val="40"/>
          <w:sz w:val="22"/>
        </w:rPr>
        <w:t> </w:t>
      </w:r>
      <w:r>
        <w:rPr>
          <w:sz w:val="22"/>
        </w:rPr>
        <w:t>para</w:t>
      </w:r>
      <w:r>
        <w:rPr>
          <w:spacing w:val="40"/>
          <w:sz w:val="22"/>
        </w:rPr>
        <w:t> </w:t>
      </w:r>
      <w:r>
        <w:rPr>
          <w:sz w:val="22"/>
        </w:rPr>
        <w:t>ponderação</w:t>
      </w:r>
      <w:r>
        <w:rPr>
          <w:spacing w:val="39"/>
          <w:sz w:val="22"/>
        </w:rPr>
        <w:t> </w:t>
      </w:r>
      <w:r>
        <w:rPr>
          <w:sz w:val="22"/>
        </w:rPr>
        <w:t>do</w:t>
      </w:r>
      <w:r>
        <w:rPr>
          <w:spacing w:val="40"/>
          <w:sz w:val="22"/>
        </w:rPr>
        <w:t> </w:t>
      </w:r>
      <w:r>
        <w:rPr>
          <w:sz w:val="22"/>
        </w:rPr>
        <w:t>Painel</w:t>
      </w:r>
      <w:r>
        <w:rPr>
          <w:spacing w:val="40"/>
          <w:sz w:val="22"/>
        </w:rPr>
        <w:t> </w:t>
      </w:r>
      <w:r>
        <w:rPr>
          <w:sz w:val="22"/>
        </w:rPr>
        <w:t>TIC </w:t>
      </w:r>
      <w:r>
        <w:rPr>
          <w:spacing w:val="-2"/>
          <w:sz w:val="22"/>
        </w:rPr>
        <w:t>COVID-19.</w:t>
      </w:r>
    </w:p>
    <w:p>
      <w:pPr>
        <w:pStyle w:val="Heading2"/>
        <w:numPr>
          <w:ilvl w:val="2"/>
          <w:numId w:val="1"/>
        </w:numPr>
        <w:tabs>
          <w:tab w:pos="645" w:val="left" w:leader="none"/>
        </w:tabs>
        <w:spacing w:line="240" w:lineRule="auto" w:before="230" w:after="0"/>
        <w:ind w:left="645" w:right="0" w:hanging="501"/>
        <w:jc w:val="left"/>
      </w:pPr>
      <w:r>
        <w:rPr/>
        <w:t>-</w:t>
      </w:r>
      <w:r>
        <w:rPr>
          <w:spacing w:val="-6"/>
        </w:rPr>
        <w:t> </w:t>
      </w:r>
      <w:r>
        <w:rPr/>
        <w:t>ETAPA</w:t>
      </w:r>
      <w:r>
        <w:rPr>
          <w:spacing w:val="-5"/>
        </w:rPr>
        <w:t> </w:t>
      </w:r>
      <w:r>
        <w:rPr/>
        <w:t>1</w:t>
      </w:r>
      <w:r>
        <w:rPr>
          <w:spacing w:val="-3"/>
        </w:rPr>
        <w:t> </w:t>
      </w:r>
      <w:r>
        <w:rPr/>
        <w:t>-</w:t>
      </w:r>
      <w:r>
        <w:rPr>
          <w:spacing w:val="1"/>
        </w:rPr>
        <w:t> </w:t>
      </w:r>
      <w:r>
        <w:rPr/>
        <w:t>Estimação</w:t>
      </w:r>
      <w:r>
        <w:rPr>
          <w:spacing w:val="-2"/>
        </w:rPr>
        <w:t> </w:t>
      </w:r>
      <w:r>
        <w:rPr/>
        <w:t>do</w:t>
      </w:r>
      <w:r>
        <w:rPr>
          <w:spacing w:val="-2"/>
        </w:rPr>
        <w:t> </w:t>
      </w:r>
      <w:r>
        <w:rPr/>
        <w:t>contingente</w:t>
      </w:r>
      <w:r>
        <w:rPr>
          <w:spacing w:val="-2"/>
        </w:rPr>
        <w:t> </w:t>
      </w:r>
      <w:r>
        <w:rPr/>
        <w:t>de</w:t>
      </w:r>
      <w:r>
        <w:rPr>
          <w:spacing w:val="-3"/>
        </w:rPr>
        <w:t> </w:t>
      </w:r>
      <w:r>
        <w:rPr/>
        <w:t>usuários</w:t>
      </w:r>
      <w:r>
        <w:rPr>
          <w:spacing w:val="-3"/>
        </w:rPr>
        <w:t> </w:t>
      </w:r>
      <w:r>
        <w:rPr/>
        <w:t>de</w:t>
      </w:r>
      <w:r>
        <w:rPr>
          <w:spacing w:val="-2"/>
        </w:rPr>
        <w:t> </w:t>
      </w:r>
      <w:r>
        <w:rPr/>
        <w:t>Internet</w:t>
      </w:r>
      <w:r>
        <w:rPr>
          <w:spacing w:val="-3"/>
        </w:rPr>
        <w:t> </w:t>
      </w:r>
      <w:r>
        <w:rPr/>
        <w:t>representados</w:t>
      </w:r>
      <w:r>
        <w:rPr>
          <w:spacing w:val="-4"/>
        </w:rPr>
        <w:t> </w:t>
      </w:r>
      <w:r>
        <w:rPr/>
        <w:t>no</w:t>
      </w:r>
      <w:r>
        <w:rPr>
          <w:spacing w:val="-2"/>
        </w:rPr>
        <w:t> </w:t>
      </w:r>
      <w:r>
        <w:rPr/>
        <w:t>Painel</w:t>
      </w:r>
      <w:r>
        <w:rPr>
          <w:spacing w:val="-1"/>
        </w:rPr>
        <w:t> </w:t>
      </w:r>
      <w:r>
        <w:rPr/>
        <w:t>TIC</w:t>
      </w:r>
      <w:r>
        <w:rPr>
          <w:spacing w:val="-4"/>
        </w:rPr>
        <w:t> </w:t>
      </w:r>
      <w:r>
        <w:rPr/>
        <w:t>COVID-</w:t>
      </w:r>
      <w:r>
        <w:rPr>
          <w:spacing w:val="-5"/>
        </w:rPr>
        <w:t>19</w:t>
      </w:r>
    </w:p>
    <w:p>
      <w:pPr>
        <w:pStyle w:val="BodyText"/>
        <w:spacing w:before="11"/>
        <w:rPr>
          <w:b/>
        </w:rPr>
      </w:pPr>
    </w:p>
    <w:p>
      <w:pPr>
        <w:pStyle w:val="BodyText"/>
        <w:spacing w:line="276" w:lineRule="auto"/>
        <w:ind w:left="144" w:right="133"/>
        <w:jc w:val="both"/>
      </w:pPr>
      <w:r>
        <w:rPr/>
        <w:t>A pesquisa TIC Domicílios 2019 (CGI.br), a partir de uma abordagem probabilística tradicional, permite estimar o total</w:t>
      </w:r>
      <w:r>
        <w:rPr>
          <w:spacing w:val="-1"/>
        </w:rPr>
        <w:t> </w:t>
      </w:r>
      <w:r>
        <w:rPr/>
        <w:t>de brasileiros</w:t>
      </w:r>
      <w:r>
        <w:rPr>
          <w:spacing w:val="-1"/>
        </w:rPr>
        <w:t> </w:t>
      </w:r>
      <w:r>
        <w:rPr/>
        <w:t>de</w:t>
      </w:r>
      <w:r>
        <w:rPr>
          <w:spacing w:val="-3"/>
        </w:rPr>
        <w:t> </w:t>
      </w:r>
      <w:r>
        <w:rPr/>
        <w:t>10</w:t>
      </w:r>
      <w:r>
        <w:rPr>
          <w:spacing w:val="-2"/>
        </w:rPr>
        <w:t> </w:t>
      </w:r>
      <w:r>
        <w:rPr/>
        <w:t>anos ou</w:t>
      </w:r>
      <w:r>
        <w:rPr>
          <w:spacing w:val="-2"/>
        </w:rPr>
        <w:t> </w:t>
      </w:r>
      <w:r>
        <w:rPr/>
        <w:t>mais</w:t>
      </w:r>
      <w:r>
        <w:rPr>
          <w:spacing w:val="-1"/>
        </w:rPr>
        <w:t> </w:t>
      </w:r>
      <w:r>
        <w:rPr/>
        <w:t>de</w:t>
      </w:r>
      <w:r>
        <w:rPr>
          <w:spacing w:val="-3"/>
        </w:rPr>
        <w:t> </w:t>
      </w:r>
      <w:r>
        <w:rPr/>
        <w:t>idade</w:t>
      </w:r>
      <w:r>
        <w:rPr>
          <w:spacing w:val="-3"/>
        </w:rPr>
        <w:t> </w:t>
      </w:r>
      <w:r>
        <w:rPr/>
        <w:t>que</w:t>
      </w:r>
      <w:r>
        <w:rPr>
          <w:spacing w:val="-4"/>
        </w:rPr>
        <w:t> </w:t>
      </w:r>
      <w:r>
        <w:rPr/>
        <w:t>são usuários</w:t>
      </w:r>
      <w:r>
        <w:rPr>
          <w:spacing w:val="-1"/>
        </w:rPr>
        <w:t> </w:t>
      </w:r>
      <w:r>
        <w:rPr/>
        <w:t>de</w:t>
      </w:r>
      <w:r>
        <w:rPr>
          <w:spacing w:val="-3"/>
        </w:rPr>
        <w:t> </w:t>
      </w:r>
      <w:r>
        <w:rPr/>
        <w:t>Internet</w:t>
      </w:r>
      <w:r>
        <w:rPr>
          <w:vertAlign w:val="superscript"/>
        </w:rPr>
        <w:t>2</w:t>
      </w:r>
      <w:r>
        <w:rPr>
          <w:vertAlign w:val="baseline"/>
        </w:rPr>
        <w:t>.</w:t>
      </w:r>
      <w:r>
        <w:rPr>
          <w:spacing w:val="-2"/>
          <w:vertAlign w:val="baseline"/>
        </w:rPr>
        <w:t> </w:t>
      </w:r>
      <w:r>
        <w:rPr>
          <w:vertAlign w:val="baseline"/>
        </w:rPr>
        <w:t>Já</w:t>
      </w:r>
      <w:r>
        <w:rPr>
          <w:spacing w:val="-4"/>
          <w:vertAlign w:val="baseline"/>
        </w:rPr>
        <w:t> </w:t>
      </w:r>
      <w:r>
        <w:rPr>
          <w:vertAlign w:val="baseline"/>
        </w:rPr>
        <w:t>o</w:t>
      </w:r>
      <w:r>
        <w:rPr>
          <w:spacing w:val="-2"/>
          <w:vertAlign w:val="baseline"/>
        </w:rPr>
        <w:t> </w:t>
      </w:r>
      <w:r>
        <w:rPr>
          <w:vertAlign w:val="baseline"/>
        </w:rPr>
        <w:t>Painel</w:t>
      </w:r>
      <w:r>
        <w:rPr>
          <w:spacing w:val="-1"/>
          <w:vertAlign w:val="baseline"/>
        </w:rPr>
        <w:t> </w:t>
      </w:r>
      <w:r>
        <w:rPr>
          <w:vertAlign w:val="baseline"/>
        </w:rPr>
        <w:t>TIC</w:t>
      </w:r>
      <w:r>
        <w:rPr>
          <w:spacing w:val="-3"/>
          <w:vertAlign w:val="baseline"/>
        </w:rPr>
        <w:t> </w:t>
      </w:r>
      <w:r>
        <w:rPr>
          <w:vertAlign w:val="baseline"/>
        </w:rPr>
        <w:t>COVID-19</w:t>
      </w:r>
      <w:r>
        <w:rPr>
          <w:spacing w:val="-2"/>
          <w:vertAlign w:val="baseline"/>
        </w:rPr>
        <w:t> </w:t>
      </w:r>
      <w:r>
        <w:rPr>
          <w:vertAlign w:val="baseline"/>
        </w:rPr>
        <w:t>conta com respondentes</w:t>
      </w:r>
      <w:r>
        <w:rPr>
          <w:spacing w:val="-6"/>
          <w:vertAlign w:val="baseline"/>
        </w:rPr>
        <w:t> </w:t>
      </w:r>
      <w:r>
        <w:rPr>
          <w:vertAlign w:val="baseline"/>
        </w:rPr>
        <w:t>de</w:t>
      </w:r>
      <w:r>
        <w:rPr>
          <w:spacing w:val="-5"/>
          <w:vertAlign w:val="baseline"/>
        </w:rPr>
        <w:t> </w:t>
      </w:r>
      <w:r>
        <w:rPr>
          <w:vertAlign w:val="baseline"/>
        </w:rPr>
        <w:t>16</w:t>
      </w:r>
      <w:r>
        <w:rPr>
          <w:spacing w:val="-8"/>
          <w:vertAlign w:val="baseline"/>
        </w:rPr>
        <w:t> </w:t>
      </w:r>
      <w:r>
        <w:rPr>
          <w:vertAlign w:val="baseline"/>
        </w:rPr>
        <w:t>anos</w:t>
      </w:r>
      <w:r>
        <w:rPr>
          <w:spacing w:val="-6"/>
          <w:vertAlign w:val="baseline"/>
        </w:rPr>
        <w:t> </w:t>
      </w:r>
      <w:r>
        <w:rPr>
          <w:vertAlign w:val="baseline"/>
        </w:rPr>
        <w:t>ou</w:t>
      </w:r>
      <w:r>
        <w:rPr>
          <w:spacing w:val="-4"/>
          <w:vertAlign w:val="baseline"/>
        </w:rPr>
        <w:t> </w:t>
      </w:r>
      <w:r>
        <w:rPr>
          <w:vertAlign w:val="baseline"/>
        </w:rPr>
        <w:t>mais</w:t>
      </w:r>
      <w:r>
        <w:rPr>
          <w:spacing w:val="-6"/>
          <w:vertAlign w:val="baseline"/>
        </w:rPr>
        <w:t> </w:t>
      </w:r>
      <w:r>
        <w:rPr>
          <w:vertAlign w:val="baseline"/>
        </w:rPr>
        <w:t>que</w:t>
      </w:r>
      <w:r>
        <w:rPr>
          <w:spacing w:val="-6"/>
          <w:vertAlign w:val="baseline"/>
        </w:rPr>
        <w:t> </w:t>
      </w:r>
      <w:r>
        <w:rPr>
          <w:vertAlign w:val="baseline"/>
        </w:rPr>
        <w:t>são</w:t>
      </w:r>
      <w:r>
        <w:rPr>
          <w:spacing w:val="-8"/>
          <w:vertAlign w:val="baseline"/>
        </w:rPr>
        <w:t> </w:t>
      </w:r>
      <w:r>
        <w:rPr>
          <w:vertAlign w:val="baseline"/>
        </w:rPr>
        <w:t>usuários</w:t>
      </w:r>
      <w:r>
        <w:rPr>
          <w:spacing w:val="-6"/>
          <w:vertAlign w:val="baseline"/>
        </w:rPr>
        <w:t> </w:t>
      </w:r>
      <w:r>
        <w:rPr>
          <w:vertAlign w:val="baseline"/>
        </w:rPr>
        <w:t>de</w:t>
      </w:r>
      <w:r>
        <w:rPr>
          <w:spacing w:val="-9"/>
          <w:vertAlign w:val="baseline"/>
        </w:rPr>
        <w:t> </w:t>
      </w:r>
      <w:r>
        <w:rPr>
          <w:vertAlign w:val="baseline"/>
        </w:rPr>
        <w:t>Internet,</w:t>
      </w:r>
      <w:r>
        <w:rPr>
          <w:spacing w:val="-3"/>
          <w:vertAlign w:val="baseline"/>
        </w:rPr>
        <w:t> </w:t>
      </w:r>
      <w:r>
        <w:rPr>
          <w:vertAlign w:val="baseline"/>
        </w:rPr>
        <w:t>segundo</w:t>
      </w:r>
      <w:r>
        <w:rPr>
          <w:spacing w:val="-8"/>
          <w:vertAlign w:val="baseline"/>
        </w:rPr>
        <w:t> </w:t>
      </w:r>
      <w:r>
        <w:rPr>
          <w:vertAlign w:val="baseline"/>
        </w:rPr>
        <w:t>parâmetros</w:t>
      </w:r>
      <w:r>
        <w:rPr>
          <w:spacing w:val="-6"/>
          <w:vertAlign w:val="baseline"/>
        </w:rPr>
        <w:t> </w:t>
      </w:r>
      <w:r>
        <w:rPr>
          <w:vertAlign w:val="baseline"/>
        </w:rPr>
        <w:t>adotados</w:t>
      </w:r>
      <w:r>
        <w:rPr>
          <w:spacing w:val="-6"/>
          <w:vertAlign w:val="baseline"/>
        </w:rPr>
        <w:t> </w:t>
      </w:r>
      <w:r>
        <w:rPr>
          <w:vertAlign w:val="baseline"/>
        </w:rPr>
        <w:t>internacionalmente (UIT, 2014). Para que as duas amostras fossem comparáveis, foram filtrados os resultados da TIC Domicílios 2019 referentes a mesma faixa etária, aqueles usuários de Internet de 16 anos ou mais.</w:t>
      </w:r>
    </w:p>
    <w:p>
      <w:pPr>
        <w:pStyle w:val="BodyText"/>
        <w:spacing w:line="276" w:lineRule="auto" w:before="240"/>
        <w:ind w:left="144" w:right="134"/>
        <w:jc w:val="both"/>
      </w:pPr>
      <w:r>
        <w:rPr/>
        <w:t>Uma</w:t>
      </w:r>
      <w:r>
        <w:rPr>
          <w:spacing w:val="-13"/>
        </w:rPr>
        <w:t> </w:t>
      </w:r>
      <w:r>
        <w:rPr/>
        <w:t>vez</w:t>
      </w:r>
      <w:r>
        <w:rPr>
          <w:spacing w:val="-6"/>
        </w:rPr>
        <w:t> </w:t>
      </w:r>
      <w:r>
        <w:rPr/>
        <w:t>que</w:t>
      </w:r>
      <w:r>
        <w:rPr>
          <w:spacing w:val="-9"/>
        </w:rPr>
        <w:t> </w:t>
      </w:r>
      <w:r>
        <w:rPr/>
        <w:t>a</w:t>
      </w:r>
      <w:r>
        <w:rPr>
          <w:spacing w:val="-9"/>
        </w:rPr>
        <w:t> </w:t>
      </w:r>
      <w:r>
        <w:rPr/>
        <w:t>construção</w:t>
      </w:r>
      <w:r>
        <w:rPr>
          <w:spacing w:val="-8"/>
        </w:rPr>
        <w:t> </w:t>
      </w:r>
      <w:r>
        <w:rPr/>
        <w:t>do</w:t>
      </w:r>
      <w:r>
        <w:rPr>
          <w:spacing w:val="-7"/>
        </w:rPr>
        <w:t> </w:t>
      </w:r>
      <w:r>
        <w:rPr/>
        <w:t>conjunto</w:t>
      </w:r>
      <w:r>
        <w:rPr>
          <w:spacing w:val="-11"/>
        </w:rPr>
        <w:t> </w:t>
      </w:r>
      <w:r>
        <w:rPr/>
        <w:t>de</w:t>
      </w:r>
      <w:r>
        <w:rPr>
          <w:spacing w:val="-13"/>
        </w:rPr>
        <w:t> </w:t>
      </w:r>
      <w:r>
        <w:rPr/>
        <w:t>respondentes</w:t>
      </w:r>
      <w:r>
        <w:rPr>
          <w:spacing w:val="-9"/>
        </w:rPr>
        <w:t> </w:t>
      </w:r>
      <w:r>
        <w:rPr/>
        <w:t>do</w:t>
      </w:r>
      <w:r>
        <w:rPr>
          <w:spacing w:val="-7"/>
        </w:rPr>
        <w:t> </w:t>
      </w:r>
      <w:r>
        <w:rPr/>
        <w:t>Painel</w:t>
      </w:r>
      <w:r>
        <w:rPr>
          <w:spacing w:val="-10"/>
        </w:rPr>
        <w:t> </w:t>
      </w:r>
      <w:r>
        <w:rPr/>
        <w:t>TIC</w:t>
      </w:r>
      <w:r>
        <w:rPr>
          <w:spacing w:val="-8"/>
        </w:rPr>
        <w:t> </w:t>
      </w:r>
      <w:r>
        <w:rPr/>
        <w:t>COVID-19</w:t>
      </w:r>
      <w:r>
        <w:rPr>
          <w:spacing w:val="-10"/>
        </w:rPr>
        <w:t> </w:t>
      </w:r>
      <w:r>
        <w:rPr/>
        <w:t>não</w:t>
      </w:r>
      <w:r>
        <w:rPr>
          <w:spacing w:val="-7"/>
        </w:rPr>
        <w:t> </w:t>
      </w:r>
      <w:r>
        <w:rPr/>
        <w:t>é</w:t>
      </w:r>
      <w:r>
        <w:rPr>
          <w:spacing w:val="-13"/>
        </w:rPr>
        <w:t> </w:t>
      </w:r>
      <w:r>
        <w:rPr/>
        <w:t>feita</w:t>
      </w:r>
      <w:r>
        <w:rPr>
          <w:spacing w:val="-5"/>
        </w:rPr>
        <w:t> </w:t>
      </w:r>
      <w:r>
        <w:rPr/>
        <w:t>de</w:t>
      </w:r>
      <w:r>
        <w:rPr>
          <w:spacing w:val="-12"/>
        </w:rPr>
        <w:t> </w:t>
      </w:r>
      <w:r>
        <w:rPr/>
        <w:t>forma</w:t>
      </w:r>
      <w:r>
        <w:rPr>
          <w:spacing w:val="-9"/>
        </w:rPr>
        <w:t> </w:t>
      </w:r>
      <w:r>
        <w:rPr/>
        <w:t>probabilística, não é possível considerá-lo </w:t>
      </w:r>
      <w:r>
        <w:rPr>
          <w:i/>
        </w:rPr>
        <w:t>a priori </w:t>
      </w:r>
      <w:r>
        <w:rPr/>
        <w:t>como representativo do conjunto da população de usuários de Internet de 16 ou</w:t>
      </w:r>
      <w:r>
        <w:rPr>
          <w:spacing w:val="-11"/>
        </w:rPr>
        <w:t> </w:t>
      </w:r>
      <w:r>
        <w:rPr/>
        <w:t>mais</w:t>
      </w:r>
      <w:r>
        <w:rPr>
          <w:spacing w:val="-9"/>
        </w:rPr>
        <w:t> </w:t>
      </w:r>
      <w:r>
        <w:rPr/>
        <w:t>anos</w:t>
      </w:r>
      <w:r>
        <w:rPr>
          <w:spacing w:val="-5"/>
        </w:rPr>
        <w:t> </w:t>
      </w:r>
      <w:r>
        <w:rPr/>
        <w:t>de</w:t>
      </w:r>
      <w:r>
        <w:rPr>
          <w:spacing w:val="-8"/>
        </w:rPr>
        <w:t> </w:t>
      </w:r>
      <w:r>
        <w:rPr/>
        <w:t>idade.</w:t>
      </w:r>
      <w:r>
        <w:rPr>
          <w:spacing w:val="-7"/>
        </w:rPr>
        <w:t> </w:t>
      </w:r>
      <w:r>
        <w:rPr/>
        <w:t>Para</w:t>
      </w:r>
      <w:r>
        <w:rPr>
          <w:spacing w:val="-9"/>
        </w:rPr>
        <w:t> </w:t>
      </w:r>
      <w:r>
        <w:rPr/>
        <w:t>estimar</w:t>
      </w:r>
      <w:r>
        <w:rPr>
          <w:spacing w:val="-12"/>
        </w:rPr>
        <w:t> </w:t>
      </w:r>
      <w:r>
        <w:rPr/>
        <w:t>o</w:t>
      </w:r>
      <w:r>
        <w:rPr>
          <w:spacing w:val="-4"/>
        </w:rPr>
        <w:t> </w:t>
      </w:r>
      <w:r>
        <w:rPr/>
        <w:t>contingente</w:t>
      </w:r>
      <w:r>
        <w:rPr>
          <w:spacing w:val="-9"/>
        </w:rPr>
        <w:t> </w:t>
      </w:r>
      <w:r>
        <w:rPr/>
        <w:t>da</w:t>
      </w:r>
      <w:r>
        <w:rPr>
          <w:spacing w:val="-8"/>
        </w:rPr>
        <w:t> </w:t>
      </w:r>
      <w:r>
        <w:rPr/>
        <w:t>população</w:t>
      </w:r>
      <w:r>
        <w:rPr>
          <w:spacing w:val="-8"/>
        </w:rPr>
        <w:t> </w:t>
      </w:r>
      <w:r>
        <w:rPr/>
        <w:t>que</w:t>
      </w:r>
      <w:r>
        <w:rPr>
          <w:spacing w:val="-5"/>
        </w:rPr>
        <w:t> </w:t>
      </w:r>
      <w:r>
        <w:rPr/>
        <w:t>é</w:t>
      </w:r>
      <w:r>
        <w:rPr>
          <w:spacing w:val="-9"/>
        </w:rPr>
        <w:t> </w:t>
      </w:r>
      <w:r>
        <w:rPr/>
        <w:t>representada</w:t>
      </w:r>
      <w:r>
        <w:rPr>
          <w:spacing w:val="-8"/>
        </w:rPr>
        <w:t> </w:t>
      </w:r>
      <w:r>
        <w:rPr/>
        <w:t>pelos</w:t>
      </w:r>
      <w:r>
        <w:rPr>
          <w:spacing w:val="-9"/>
        </w:rPr>
        <w:t> </w:t>
      </w:r>
      <w:r>
        <w:rPr/>
        <w:t>respondentes</w:t>
      </w:r>
      <w:r>
        <w:rPr>
          <w:spacing w:val="-9"/>
        </w:rPr>
        <w:t> </w:t>
      </w:r>
      <w:r>
        <w:rPr/>
        <w:t>do</w:t>
      </w:r>
      <w:r>
        <w:rPr>
          <w:spacing w:val="-7"/>
        </w:rPr>
        <w:t> </w:t>
      </w:r>
      <w:r>
        <w:rPr/>
        <w:t>painel, adotou-se</w:t>
      </w:r>
      <w:r>
        <w:rPr>
          <w:spacing w:val="-13"/>
        </w:rPr>
        <w:t> </w:t>
      </w:r>
      <w:r>
        <w:rPr/>
        <w:t>o</w:t>
      </w:r>
      <w:r>
        <w:rPr>
          <w:spacing w:val="-12"/>
        </w:rPr>
        <w:t> </w:t>
      </w:r>
      <w:r>
        <w:rPr/>
        <w:t>procedimento</w:t>
      </w:r>
      <w:r>
        <w:rPr>
          <w:spacing w:val="-11"/>
        </w:rPr>
        <w:t> </w:t>
      </w:r>
      <w:r>
        <w:rPr/>
        <w:t>de</w:t>
      </w:r>
      <w:r>
        <w:rPr>
          <w:spacing w:val="-9"/>
        </w:rPr>
        <w:t> </w:t>
      </w:r>
      <w:r>
        <w:rPr/>
        <w:t>estimação</w:t>
      </w:r>
      <w:r>
        <w:rPr>
          <w:spacing w:val="-12"/>
        </w:rPr>
        <w:t> </w:t>
      </w:r>
      <w:r>
        <w:rPr/>
        <w:t>baseado</w:t>
      </w:r>
      <w:r>
        <w:rPr>
          <w:spacing w:val="-12"/>
        </w:rPr>
        <w:t> </w:t>
      </w:r>
      <w:r>
        <w:rPr/>
        <w:t>em</w:t>
      </w:r>
      <w:r>
        <w:rPr>
          <w:spacing w:val="-12"/>
        </w:rPr>
        <w:t> </w:t>
      </w:r>
      <w:r>
        <w:rPr/>
        <w:t>escores</w:t>
      </w:r>
      <w:r>
        <w:rPr>
          <w:spacing w:val="-10"/>
        </w:rPr>
        <w:t> </w:t>
      </w:r>
      <w:r>
        <w:rPr/>
        <w:t>de</w:t>
      </w:r>
      <w:r>
        <w:rPr>
          <w:spacing w:val="-13"/>
        </w:rPr>
        <w:t> </w:t>
      </w:r>
      <w:r>
        <w:rPr/>
        <w:t>propensão</w:t>
      </w:r>
      <w:r>
        <w:rPr>
          <w:spacing w:val="-11"/>
        </w:rPr>
        <w:t> </w:t>
      </w:r>
      <w:r>
        <w:rPr/>
        <w:t>(</w:t>
      </w:r>
      <w:r>
        <w:rPr>
          <w:i/>
        </w:rPr>
        <w:t>propensity</w:t>
      </w:r>
      <w:r>
        <w:rPr>
          <w:i/>
          <w:spacing w:val="-11"/>
        </w:rPr>
        <w:t> </w:t>
      </w:r>
      <w:r>
        <w:rPr>
          <w:i/>
        </w:rPr>
        <w:t>scores</w:t>
      </w:r>
      <w:r>
        <w:rPr/>
        <w:t>).</w:t>
      </w:r>
      <w:r>
        <w:rPr>
          <w:spacing w:val="-12"/>
        </w:rPr>
        <w:t> </w:t>
      </w:r>
      <w:r>
        <w:rPr/>
        <w:t>Nessa</w:t>
      </w:r>
      <w:r>
        <w:rPr>
          <w:spacing w:val="-13"/>
        </w:rPr>
        <w:t> </w:t>
      </w:r>
      <w:r>
        <w:rPr/>
        <w:t>metodologia são calculados, inicialmente, os escores de propensão de ser usuário de Internet segundo variáveis socioeconômicas com base na pesquisa probabilística disponível (TIC Domicílios 2019). A seguir, esse mesmo modelo é então utilizado para estimar os escores de propensão para os respondentes do Painel TIC COVID-19.</w:t>
      </w:r>
    </w:p>
    <w:p>
      <w:pPr>
        <w:pStyle w:val="BodyText"/>
        <w:spacing w:line="276" w:lineRule="auto" w:before="243"/>
        <w:ind w:left="144" w:right="143"/>
        <w:jc w:val="both"/>
      </w:pPr>
      <w:r>
        <w:rPr/>
        <w:t>Comparando a distribuição dos escores de propensão do Painel TIC COVID-19 com a verificada na pesquisa TIC Domicílios 2019 é possível determinar qual parte (ou se toda) a população da pesquisa em 2019 poderia ser considerada</w:t>
      </w:r>
      <w:r>
        <w:rPr>
          <w:spacing w:val="-1"/>
        </w:rPr>
        <w:t> </w:t>
      </w:r>
      <w:r>
        <w:rPr/>
        <w:t>representada</w:t>
      </w:r>
      <w:r>
        <w:rPr>
          <w:spacing w:val="-1"/>
        </w:rPr>
        <w:t> </w:t>
      </w:r>
      <w:r>
        <w:rPr/>
        <w:t>pelos respondentes do painel. Isso equivale</w:t>
      </w:r>
      <w:r>
        <w:rPr>
          <w:spacing w:val="-2"/>
        </w:rPr>
        <w:t> </w:t>
      </w:r>
      <w:r>
        <w:rPr/>
        <w:t>a</w:t>
      </w:r>
      <w:r>
        <w:rPr>
          <w:spacing w:val="-2"/>
        </w:rPr>
        <w:t> </w:t>
      </w:r>
      <w:r>
        <w:rPr/>
        <w:t>estimar</w:t>
      </w:r>
      <w:r>
        <w:rPr>
          <w:spacing w:val="-1"/>
        </w:rPr>
        <w:t> </w:t>
      </w:r>
      <w:r>
        <w:rPr/>
        <w:t>o erro de cobertura</w:t>
      </w:r>
      <w:r>
        <w:rPr>
          <w:spacing w:val="-2"/>
        </w:rPr>
        <w:t> </w:t>
      </w:r>
      <w:r>
        <w:rPr/>
        <w:t>do Painel TIC COVID-19 em relação à população-alvo inicialmente considerada para a pesquisa.</w:t>
      </w:r>
    </w:p>
    <w:p>
      <w:pPr>
        <w:pStyle w:val="BodyText"/>
        <w:spacing w:before="11"/>
        <w:rPr>
          <w:sz w:val="13"/>
        </w:rPr>
      </w:pPr>
      <w:r>
        <w:rPr>
          <w:sz w:val="13"/>
        </w:rPr>
        <mc:AlternateContent>
          <mc:Choice Requires="wps">
            <w:drawing>
              <wp:anchor distT="0" distB="0" distL="0" distR="0" allowOverlap="1" layoutInCell="1" locked="0" behindDoc="1" simplePos="0" relativeHeight="487588352">
                <wp:simplePos x="0" y="0"/>
                <wp:positionH relativeFrom="page">
                  <wp:posOffset>541337</wp:posOffset>
                </wp:positionH>
                <wp:positionV relativeFrom="paragraph">
                  <wp:posOffset>123462</wp:posOffset>
                </wp:positionV>
                <wp:extent cx="1829435" cy="1016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10160"/>
                        </a:xfrm>
                        <a:custGeom>
                          <a:avLst/>
                          <a:gdLst/>
                          <a:ahLst/>
                          <a:cxnLst/>
                          <a:rect l="l" t="t" r="r" b="b"/>
                          <a:pathLst>
                            <a:path w="1829435" h="10160">
                              <a:moveTo>
                                <a:pt x="1829181" y="0"/>
                              </a:moveTo>
                              <a:lnTo>
                                <a:pt x="0" y="0"/>
                              </a:lnTo>
                              <a:lnTo>
                                <a:pt x="0" y="10160"/>
                              </a:lnTo>
                              <a:lnTo>
                                <a:pt x="1829181" y="1016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9.721445pt;width:144.03pt;height:.80005pt;mso-position-horizontal-relative:page;mso-position-vertical-relative:paragraph;z-index:-15728128;mso-wrap-distance-left:0;mso-wrap-distance-right:0" id="docshape14" filled="true" fillcolor="#000000" stroked="false">
                <v:fill type="solid"/>
                <w10:wrap type="topAndBottom"/>
              </v:rect>
            </w:pict>
          </mc:Fallback>
        </mc:AlternateContent>
      </w:r>
    </w:p>
    <w:p>
      <w:pPr>
        <w:spacing w:before="101"/>
        <w:ind w:left="144" w:right="131" w:firstLine="0"/>
        <w:jc w:val="left"/>
        <w:rPr>
          <w:sz w:val="20"/>
        </w:rPr>
      </w:pPr>
      <w:r>
        <w:rPr>
          <w:sz w:val="20"/>
          <w:vertAlign w:val="superscript"/>
        </w:rPr>
        <w:t>2</w:t>
      </w:r>
      <w:r>
        <w:rPr>
          <w:spacing w:val="-4"/>
          <w:sz w:val="20"/>
          <w:vertAlign w:val="baseline"/>
        </w:rPr>
        <w:t> </w:t>
      </w:r>
      <w:r>
        <w:rPr>
          <w:sz w:val="20"/>
          <w:vertAlign w:val="baseline"/>
        </w:rPr>
        <w:t>Maiores</w:t>
      </w:r>
      <w:r>
        <w:rPr>
          <w:spacing w:val="-3"/>
          <w:sz w:val="20"/>
          <w:vertAlign w:val="baseline"/>
        </w:rPr>
        <w:t> </w:t>
      </w:r>
      <w:r>
        <w:rPr>
          <w:sz w:val="20"/>
          <w:vertAlign w:val="baseline"/>
        </w:rPr>
        <w:t>detalhes</w:t>
      </w:r>
      <w:r>
        <w:rPr>
          <w:spacing w:val="-3"/>
          <w:sz w:val="20"/>
          <w:vertAlign w:val="baseline"/>
        </w:rPr>
        <w:t> </w:t>
      </w:r>
      <w:r>
        <w:rPr>
          <w:sz w:val="20"/>
          <w:vertAlign w:val="baseline"/>
        </w:rPr>
        <w:t>no</w:t>
      </w:r>
      <w:r>
        <w:rPr>
          <w:spacing w:val="-4"/>
          <w:sz w:val="20"/>
          <w:vertAlign w:val="baseline"/>
        </w:rPr>
        <w:t> </w:t>
      </w:r>
      <w:r>
        <w:rPr>
          <w:i/>
          <w:sz w:val="20"/>
          <w:vertAlign w:val="baseline"/>
        </w:rPr>
        <w:t>website</w:t>
      </w:r>
      <w:r>
        <w:rPr>
          <w:i/>
          <w:spacing w:val="-3"/>
          <w:sz w:val="20"/>
          <w:vertAlign w:val="baseline"/>
        </w:rPr>
        <w:t> </w:t>
      </w:r>
      <w:r>
        <w:rPr>
          <w:sz w:val="20"/>
          <w:vertAlign w:val="baseline"/>
        </w:rPr>
        <w:t>do</w:t>
      </w:r>
      <w:r>
        <w:rPr>
          <w:spacing w:val="-6"/>
          <w:sz w:val="20"/>
          <w:vertAlign w:val="baseline"/>
        </w:rPr>
        <w:t> </w:t>
      </w:r>
      <w:r>
        <w:rPr>
          <w:sz w:val="20"/>
          <w:vertAlign w:val="baseline"/>
        </w:rPr>
        <w:t>Cetic.br.</w:t>
      </w:r>
      <w:r>
        <w:rPr>
          <w:spacing w:val="-3"/>
          <w:sz w:val="20"/>
          <w:vertAlign w:val="baseline"/>
        </w:rPr>
        <w:t> </w:t>
      </w:r>
      <w:r>
        <w:rPr>
          <w:sz w:val="20"/>
          <w:vertAlign w:val="baseline"/>
        </w:rPr>
        <w:t>Recuperado</w:t>
      </w:r>
      <w:r>
        <w:rPr>
          <w:spacing w:val="-6"/>
          <w:sz w:val="20"/>
          <w:vertAlign w:val="baseline"/>
        </w:rPr>
        <w:t> </w:t>
      </w:r>
      <w:r>
        <w:rPr>
          <w:sz w:val="20"/>
          <w:vertAlign w:val="baseline"/>
        </w:rPr>
        <w:t>em</w:t>
      </w:r>
      <w:r>
        <w:rPr>
          <w:spacing w:val="-4"/>
          <w:sz w:val="20"/>
          <w:vertAlign w:val="baseline"/>
        </w:rPr>
        <w:t> </w:t>
      </w:r>
      <w:r>
        <w:rPr>
          <w:sz w:val="20"/>
          <w:vertAlign w:val="baseline"/>
        </w:rPr>
        <w:t>1</w:t>
      </w:r>
      <w:r>
        <w:rPr>
          <w:spacing w:val="-2"/>
          <w:sz w:val="20"/>
          <w:vertAlign w:val="baseline"/>
        </w:rPr>
        <w:t> </w:t>
      </w:r>
      <w:r>
        <w:rPr>
          <w:sz w:val="20"/>
          <w:vertAlign w:val="baseline"/>
        </w:rPr>
        <w:t>agosto,</w:t>
      </w:r>
      <w:r>
        <w:rPr>
          <w:spacing w:val="-3"/>
          <w:sz w:val="20"/>
          <w:vertAlign w:val="baseline"/>
        </w:rPr>
        <w:t> </w:t>
      </w:r>
      <w:r>
        <w:rPr>
          <w:sz w:val="20"/>
          <w:vertAlign w:val="baseline"/>
        </w:rPr>
        <w:t>2020,</w:t>
      </w:r>
      <w:r>
        <w:rPr>
          <w:spacing w:val="-3"/>
          <w:sz w:val="20"/>
          <w:vertAlign w:val="baseline"/>
        </w:rPr>
        <w:t> </w:t>
      </w:r>
      <w:r>
        <w:rPr>
          <w:sz w:val="20"/>
          <w:vertAlign w:val="baseline"/>
        </w:rPr>
        <w:t>de https://cetic.br/media/microdados/256/ </w:t>
      </w:r>
      <w:r>
        <w:rPr>
          <w:spacing w:val="-2"/>
          <w:sz w:val="20"/>
          <w:vertAlign w:val="baseline"/>
        </w:rPr>
        <w:t>ticdom_2019_relatorio_metodologico_v1.0.pdf</w:t>
      </w:r>
    </w:p>
    <w:p>
      <w:pPr>
        <w:spacing w:after="0"/>
        <w:jc w:val="left"/>
        <w:rPr>
          <w:sz w:val="20"/>
        </w:rPr>
        <w:sectPr>
          <w:pgSz w:w="11910" w:h="16840"/>
          <w:pgMar w:header="737" w:footer="1652" w:top="2180" w:bottom="1840" w:left="708" w:right="708"/>
        </w:sectPr>
      </w:pPr>
    </w:p>
    <w:p>
      <w:pPr>
        <w:pStyle w:val="BodyText"/>
      </w:pPr>
    </w:p>
    <w:p>
      <w:pPr>
        <w:pStyle w:val="BodyText"/>
        <w:spacing w:before="243"/>
      </w:pPr>
    </w:p>
    <w:p>
      <w:pPr>
        <w:pStyle w:val="BodyText"/>
        <w:spacing w:line="278" w:lineRule="auto"/>
        <w:ind w:left="144" w:right="144"/>
        <w:jc w:val="both"/>
      </w:pPr>
      <w:r>
        <w:rPr/>
        <w:t>A partir dessa comparação é estabelecido um ponto de corte que determina, na base da pesquisa TIC Domicílios 2019, o conjunto de unidades investigadas cujos escores de propensão parecem bem representados pelos respondentes do Painel TIC COVID-19.</w:t>
      </w:r>
    </w:p>
    <w:p>
      <w:pPr>
        <w:pStyle w:val="BodyText"/>
        <w:spacing w:line="276" w:lineRule="auto" w:before="234"/>
        <w:ind w:left="144" w:right="137"/>
        <w:jc w:val="both"/>
      </w:pPr>
      <w:r>
        <w:rPr/>
        <w:t>Esse procedimento tem por objetivo determinar a população que é representada pelo Painel TIC COVID-19 e considerar, para efeitos de comparação de resultados, essa mesma população entre os usuários de Internet na pesquisa TIC Domicílios.</w:t>
      </w:r>
    </w:p>
    <w:p>
      <w:pPr>
        <w:pStyle w:val="BodyText"/>
        <w:spacing w:before="241"/>
        <w:ind w:left="144"/>
        <w:jc w:val="both"/>
      </w:pPr>
      <w:r>
        <w:rPr/>
        <w:t>O</w:t>
      </w:r>
      <w:r>
        <w:rPr>
          <w:spacing w:val="-8"/>
        </w:rPr>
        <w:t> </w:t>
      </w:r>
      <w:r>
        <w:rPr/>
        <w:t>processo</w:t>
      </w:r>
      <w:r>
        <w:rPr>
          <w:spacing w:val="-3"/>
        </w:rPr>
        <w:t> </w:t>
      </w:r>
      <w:r>
        <w:rPr/>
        <w:t>de</w:t>
      </w:r>
      <w:r>
        <w:rPr>
          <w:spacing w:val="-5"/>
        </w:rPr>
        <w:t> </w:t>
      </w:r>
      <w:r>
        <w:rPr/>
        <w:t>determinação</w:t>
      </w:r>
      <w:r>
        <w:rPr>
          <w:spacing w:val="-1"/>
        </w:rPr>
        <w:t> </w:t>
      </w:r>
      <w:r>
        <w:rPr/>
        <w:t>dessa</w:t>
      </w:r>
      <w:r>
        <w:rPr>
          <w:spacing w:val="-5"/>
        </w:rPr>
        <w:t> </w:t>
      </w:r>
      <w:r>
        <w:rPr/>
        <w:t>população</w:t>
      </w:r>
      <w:r>
        <w:rPr>
          <w:spacing w:val="-3"/>
        </w:rPr>
        <w:t> </w:t>
      </w:r>
      <w:r>
        <w:rPr/>
        <w:t>seguiu</w:t>
      </w:r>
      <w:r>
        <w:rPr>
          <w:spacing w:val="-4"/>
        </w:rPr>
        <w:t> </w:t>
      </w:r>
      <w:r>
        <w:rPr/>
        <w:t>quatro</w:t>
      </w:r>
      <w:r>
        <w:rPr>
          <w:spacing w:val="-3"/>
        </w:rPr>
        <w:t> </w:t>
      </w:r>
      <w:r>
        <w:rPr>
          <w:spacing w:val="-2"/>
        </w:rPr>
        <w:t>passos:</w:t>
      </w:r>
    </w:p>
    <w:p>
      <w:pPr>
        <w:pStyle w:val="BodyText"/>
        <w:spacing w:before="12"/>
      </w:pPr>
    </w:p>
    <w:p>
      <w:pPr>
        <w:pStyle w:val="ListParagraph"/>
        <w:numPr>
          <w:ilvl w:val="3"/>
          <w:numId w:val="1"/>
        </w:numPr>
        <w:tabs>
          <w:tab w:pos="864" w:val="left" w:leader="none"/>
        </w:tabs>
        <w:spacing w:line="259" w:lineRule="auto" w:before="0" w:after="0"/>
        <w:ind w:left="864" w:right="138" w:hanging="472"/>
        <w:jc w:val="both"/>
        <w:rPr>
          <w:sz w:val="22"/>
        </w:rPr>
      </w:pPr>
      <w:r>
        <w:rPr>
          <w:sz w:val="22"/>
        </w:rPr>
        <w:t>Atualização de totais de população da pesquisa TIC Domicílios 2019 para o primeiro trimestre de 2020, mediante recalibração dos pesos amostrais dessa pesquisa com base em informações da Pnad Contínua referentes ao primeiro trimestre de 2020 disponibilizadas pelo IBGE;</w:t>
      </w:r>
    </w:p>
    <w:p>
      <w:pPr>
        <w:pStyle w:val="ListParagraph"/>
        <w:numPr>
          <w:ilvl w:val="3"/>
          <w:numId w:val="1"/>
        </w:numPr>
        <w:tabs>
          <w:tab w:pos="862" w:val="left" w:leader="none"/>
          <w:tab w:pos="864" w:val="left" w:leader="none"/>
        </w:tabs>
        <w:spacing w:line="259" w:lineRule="auto" w:before="0" w:after="0"/>
        <w:ind w:left="864" w:right="141" w:hanging="528"/>
        <w:jc w:val="both"/>
        <w:rPr>
          <w:sz w:val="22"/>
        </w:rPr>
      </w:pPr>
      <w:r>
        <w:rPr>
          <w:sz w:val="22"/>
        </w:rPr>
        <w:t>Ajuste</w:t>
      </w:r>
      <w:r>
        <w:rPr>
          <w:spacing w:val="-13"/>
          <w:sz w:val="22"/>
        </w:rPr>
        <w:t> </w:t>
      </w:r>
      <w:r>
        <w:rPr>
          <w:sz w:val="22"/>
        </w:rPr>
        <w:t>de</w:t>
      </w:r>
      <w:r>
        <w:rPr>
          <w:spacing w:val="-8"/>
          <w:sz w:val="22"/>
        </w:rPr>
        <w:t> </w:t>
      </w:r>
      <w:r>
        <w:rPr>
          <w:sz w:val="22"/>
        </w:rPr>
        <w:t>modelo</w:t>
      </w:r>
      <w:r>
        <w:rPr>
          <w:spacing w:val="-11"/>
          <w:sz w:val="22"/>
        </w:rPr>
        <w:t> </w:t>
      </w:r>
      <w:r>
        <w:rPr>
          <w:sz w:val="22"/>
        </w:rPr>
        <w:t>de</w:t>
      </w:r>
      <w:r>
        <w:rPr>
          <w:spacing w:val="-9"/>
          <w:sz w:val="22"/>
        </w:rPr>
        <w:t> </w:t>
      </w:r>
      <w:r>
        <w:rPr>
          <w:sz w:val="22"/>
        </w:rPr>
        <w:t>regressão</w:t>
      </w:r>
      <w:r>
        <w:rPr>
          <w:spacing w:val="-11"/>
          <w:sz w:val="22"/>
        </w:rPr>
        <w:t> </w:t>
      </w:r>
      <w:r>
        <w:rPr>
          <w:sz w:val="22"/>
        </w:rPr>
        <w:t>logística</w:t>
      </w:r>
      <w:r>
        <w:rPr>
          <w:spacing w:val="-9"/>
          <w:sz w:val="22"/>
        </w:rPr>
        <w:t> </w:t>
      </w:r>
      <w:r>
        <w:rPr>
          <w:sz w:val="22"/>
        </w:rPr>
        <w:t>tendo</w:t>
      </w:r>
      <w:r>
        <w:rPr>
          <w:spacing w:val="-8"/>
          <w:sz w:val="22"/>
        </w:rPr>
        <w:t> </w:t>
      </w:r>
      <w:r>
        <w:rPr>
          <w:sz w:val="22"/>
        </w:rPr>
        <w:t>a</w:t>
      </w:r>
      <w:r>
        <w:rPr>
          <w:spacing w:val="-9"/>
          <w:sz w:val="22"/>
        </w:rPr>
        <w:t> </w:t>
      </w:r>
      <w:r>
        <w:rPr>
          <w:sz w:val="22"/>
        </w:rPr>
        <w:t>variável</w:t>
      </w:r>
      <w:r>
        <w:rPr>
          <w:spacing w:val="-6"/>
          <w:sz w:val="22"/>
        </w:rPr>
        <w:t> </w:t>
      </w:r>
      <w:r>
        <w:rPr>
          <w:sz w:val="22"/>
        </w:rPr>
        <w:t>“usuário</w:t>
      </w:r>
      <w:r>
        <w:rPr>
          <w:spacing w:val="-11"/>
          <w:sz w:val="22"/>
        </w:rPr>
        <w:t> </w:t>
      </w:r>
      <w:r>
        <w:rPr>
          <w:sz w:val="22"/>
        </w:rPr>
        <w:t>de</w:t>
      </w:r>
      <w:r>
        <w:rPr>
          <w:spacing w:val="-8"/>
          <w:sz w:val="22"/>
        </w:rPr>
        <w:t> </w:t>
      </w:r>
      <w:r>
        <w:rPr>
          <w:sz w:val="22"/>
        </w:rPr>
        <w:t>Internet”</w:t>
      </w:r>
      <w:r>
        <w:rPr>
          <w:spacing w:val="-8"/>
          <w:sz w:val="22"/>
        </w:rPr>
        <w:t> </w:t>
      </w:r>
      <w:r>
        <w:rPr>
          <w:sz w:val="22"/>
        </w:rPr>
        <w:t>como</w:t>
      </w:r>
      <w:r>
        <w:rPr>
          <w:spacing w:val="-7"/>
          <w:sz w:val="22"/>
        </w:rPr>
        <w:t> </w:t>
      </w:r>
      <w:r>
        <w:rPr>
          <w:sz w:val="22"/>
        </w:rPr>
        <w:t>variável</w:t>
      </w:r>
      <w:r>
        <w:rPr>
          <w:spacing w:val="-10"/>
          <w:sz w:val="22"/>
        </w:rPr>
        <w:t> </w:t>
      </w:r>
      <w:r>
        <w:rPr>
          <w:sz w:val="22"/>
        </w:rPr>
        <w:t>resposta</w:t>
      </w:r>
      <w:r>
        <w:rPr>
          <w:spacing w:val="-9"/>
          <w:sz w:val="22"/>
        </w:rPr>
        <w:t> </w:t>
      </w:r>
      <w:r>
        <w:rPr>
          <w:sz w:val="22"/>
        </w:rPr>
        <w:t>e</w:t>
      </w:r>
      <w:r>
        <w:rPr>
          <w:spacing w:val="-13"/>
          <w:sz w:val="22"/>
        </w:rPr>
        <w:t> </w:t>
      </w:r>
      <w:r>
        <w:rPr>
          <w:sz w:val="22"/>
        </w:rPr>
        <w:t>um conjunto de variáveis socioeconômicas comuns a essa pesquisa e ao Painel TIC COVID-19 como variáveis explicativas. Esse modelo foi então usado para estimar os escores de propensão a ser usuário de Internet para os respondentes da pesquisa TIC Domicílios 2019;</w:t>
      </w:r>
    </w:p>
    <w:p>
      <w:pPr>
        <w:pStyle w:val="ListParagraph"/>
        <w:numPr>
          <w:ilvl w:val="3"/>
          <w:numId w:val="1"/>
        </w:numPr>
        <w:tabs>
          <w:tab w:pos="861" w:val="left" w:leader="none"/>
          <w:tab w:pos="864" w:val="left" w:leader="none"/>
        </w:tabs>
        <w:spacing w:line="256" w:lineRule="auto" w:before="0" w:after="0"/>
        <w:ind w:left="864" w:right="139" w:hanging="580"/>
        <w:jc w:val="both"/>
        <w:rPr>
          <w:sz w:val="22"/>
        </w:rPr>
      </w:pPr>
      <w:r>
        <w:rPr>
          <w:sz w:val="22"/>
        </w:rPr>
        <w:t>Estimação dos escores de propensão para os respondentes da Painel TIC COVID-19 com base no modelo ajustado com os dados da pesquisa TIC Domicílios 2019;</w:t>
      </w:r>
    </w:p>
    <w:p>
      <w:pPr>
        <w:pStyle w:val="ListParagraph"/>
        <w:numPr>
          <w:ilvl w:val="3"/>
          <w:numId w:val="1"/>
        </w:numPr>
        <w:tabs>
          <w:tab w:pos="861" w:val="left" w:leader="none"/>
          <w:tab w:pos="864" w:val="left" w:leader="none"/>
        </w:tabs>
        <w:spacing w:line="256" w:lineRule="auto" w:before="3" w:after="0"/>
        <w:ind w:left="864" w:right="152" w:hanging="596"/>
        <w:jc w:val="both"/>
        <w:rPr>
          <w:sz w:val="22"/>
        </w:rPr>
      </w:pPr>
      <w:r>
        <w:rPr>
          <w:sz w:val="22"/>
        </w:rPr>
        <w:t>Determinação do ponto de corte</w:t>
      </w:r>
      <w:r>
        <w:rPr>
          <w:spacing w:val="-1"/>
          <w:sz w:val="22"/>
        </w:rPr>
        <w:t> </w:t>
      </w:r>
      <w:r>
        <w:rPr>
          <w:sz w:val="22"/>
        </w:rPr>
        <w:t>que</w:t>
      </w:r>
      <w:r>
        <w:rPr>
          <w:spacing w:val="-1"/>
          <w:sz w:val="22"/>
        </w:rPr>
        <w:t> </w:t>
      </w:r>
      <w:r>
        <w:rPr>
          <w:sz w:val="22"/>
        </w:rPr>
        <w:t>separou tanto na amostra da pesquisa</w:t>
      </w:r>
      <w:r>
        <w:rPr>
          <w:spacing w:val="-1"/>
          <w:sz w:val="22"/>
        </w:rPr>
        <w:t> </w:t>
      </w:r>
      <w:r>
        <w:rPr>
          <w:sz w:val="22"/>
        </w:rPr>
        <w:t>TIC Domicílios 2019 como no Painel TIC COVID-19 a parcela da população que estaria representada.</w:t>
      </w:r>
    </w:p>
    <w:p>
      <w:pPr>
        <w:spacing w:before="246"/>
        <w:ind w:left="144" w:right="0" w:firstLine="0"/>
        <w:jc w:val="both"/>
        <w:rPr>
          <w:i/>
          <w:sz w:val="22"/>
        </w:rPr>
      </w:pPr>
      <w:r>
        <w:rPr>
          <w:i/>
          <w:sz w:val="22"/>
          <w:u w:val="single"/>
        </w:rPr>
        <w:t>Passo</w:t>
      </w:r>
      <w:r>
        <w:rPr>
          <w:i/>
          <w:spacing w:val="-5"/>
          <w:sz w:val="22"/>
          <w:u w:val="single"/>
        </w:rPr>
        <w:t> </w:t>
      </w:r>
      <w:r>
        <w:rPr>
          <w:i/>
          <w:sz w:val="22"/>
          <w:u w:val="single"/>
        </w:rPr>
        <w:t>I.</w:t>
      </w:r>
      <w:r>
        <w:rPr>
          <w:i/>
          <w:spacing w:val="-4"/>
          <w:sz w:val="22"/>
          <w:u w:val="single"/>
        </w:rPr>
        <w:t> </w:t>
      </w:r>
      <w:r>
        <w:rPr>
          <w:i/>
          <w:sz w:val="22"/>
          <w:u w:val="single"/>
        </w:rPr>
        <w:t>Atualização</w:t>
      </w:r>
      <w:r>
        <w:rPr>
          <w:i/>
          <w:spacing w:val="-3"/>
          <w:sz w:val="22"/>
          <w:u w:val="single"/>
        </w:rPr>
        <w:t> </w:t>
      </w:r>
      <w:r>
        <w:rPr>
          <w:i/>
          <w:sz w:val="22"/>
          <w:u w:val="single"/>
        </w:rPr>
        <w:t>dos</w:t>
      </w:r>
      <w:r>
        <w:rPr>
          <w:i/>
          <w:spacing w:val="-2"/>
          <w:sz w:val="22"/>
          <w:u w:val="single"/>
        </w:rPr>
        <w:t> </w:t>
      </w:r>
      <w:r>
        <w:rPr>
          <w:i/>
          <w:sz w:val="22"/>
          <w:u w:val="single"/>
        </w:rPr>
        <w:t>totais</w:t>
      </w:r>
      <w:r>
        <w:rPr>
          <w:i/>
          <w:spacing w:val="-2"/>
          <w:sz w:val="22"/>
          <w:u w:val="single"/>
        </w:rPr>
        <w:t> </w:t>
      </w:r>
      <w:r>
        <w:rPr>
          <w:i/>
          <w:sz w:val="22"/>
          <w:u w:val="single"/>
        </w:rPr>
        <w:t>populacionais</w:t>
      </w:r>
      <w:r>
        <w:rPr>
          <w:i/>
          <w:spacing w:val="-2"/>
          <w:sz w:val="22"/>
          <w:u w:val="single"/>
        </w:rPr>
        <w:t> </w:t>
      </w:r>
      <w:r>
        <w:rPr>
          <w:i/>
          <w:sz w:val="22"/>
          <w:u w:val="single"/>
        </w:rPr>
        <w:t>da</w:t>
      </w:r>
      <w:r>
        <w:rPr>
          <w:i/>
          <w:spacing w:val="-5"/>
          <w:sz w:val="22"/>
          <w:u w:val="single"/>
        </w:rPr>
        <w:t> </w:t>
      </w:r>
      <w:r>
        <w:rPr>
          <w:i/>
          <w:sz w:val="22"/>
          <w:u w:val="single"/>
        </w:rPr>
        <w:t>pesquisa</w:t>
      </w:r>
      <w:r>
        <w:rPr>
          <w:i/>
          <w:spacing w:val="-5"/>
          <w:sz w:val="22"/>
          <w:u w:val="single"/>
        </w:rPr>
        <w:t> </w:t>
      </w:r>
      <w:r>
        <w:rPr>
          <w:i/>
          <w:sz w:val="22"/>
          <w:u w:val="single"/>
        </w:rPr>
        <w:t>TIC</w:t>
      </w:r>
      <w:r>
        <w:rPr>
          <w:i/>
          <w:spacing w:val="2"/>
          <w:sz w:val="22"/>
          <w:u w:val="single"/>
        </w:rPr>
        <w:t> </w:t>
      </w:r>
      <w:r>
        <w:rPr>
          <w:i/>
          <w:sz w:val="22"/>
          <w:u w:val="single"/>
        </w:rPr>
        <w:t>Domicílios</w:t>
      </w:r>
      <w:r>
        <w:rPr>
          <w:i/>
          <w:spacing w:val="-6"/>
          <w:sz w:val="22"/>
          <w:u w:val="single"/>
        </w:rPr>
        <w:t> </w:t>
      </w:r>
      <w:r>
        <w:rPr>
          <w:i/>
          <w:sz w:val="22"/>
          <w:u w:val="single"/>
        </w:rPr>
        <w:t>2019</w:t>
      </w:r>
      <w:r>
        <w:rPr>
          <w:i/>
          <w:spacing w:val="-4"/>
          <w:sz w:val="22"/>
          <w:u w:val="single"/>
        </w:rPr>
        <w:t> </w:t>
      </w:r>
      <w:r>
        <w:rPr>
          <w:i/>
          <w:sz w:val="22"/>
          <w:u w:val="single"/>
        </w:rPr>
        <w:t>para</w:t>
      </w:r>
      <w:r>
        <w:rPr>
          <w:i/>
          <w:spacing w:val="-5"/>
          <w:sz w:val="22"/>
          <w:u w:val="single"/>
        </w:rPr>
        <w:t> </w:t>
      </w:r>
      <w:r>
        <w:rPr>
          <w:i/>
          <w:sz w:val="22"/>
          <w:u w:val="single"/>
        </w:rPr>
        <w:t>o</w:t>
      </w:r>
      <w:r>
        <w:rPr>
          <w:i/>
          <w:spacing w:val="-1"/>
          <w:sz w:val="22"/>
          <w:u w:val="single"/>
        </w:rPr>
        <w:t> </w:t>
      </w:r>
      <w:r>
        <w:rPr>
          <w:i/>
          <w:sz w:val="22"/>
          <w:u w:val="single"/>
        </w:rPr>
        <w:t>primeiro</w:t>
      </w:r>
      <w:r>
        <w:rPr>
          <w:i/>
          <w:spacing w:val="-5"/>
          <w:sz w:val="22"/>
          <w:u w:val="single"/>
        </w:rPr>
        <w:t> </w:t>
      </w:r>
      <w:r>
        <w:rPr>
          <w:i/>
          <w:sz w:val="22"/>
          <w:u w:val="single"/>
        </w:rPr>
        <w:t>trimestre</w:t>
      </w:r>
      <w:r>
        <w:rPr>
          <w:i/>
          <w:spacing w:val="-1"/>
          <w:sz w:val="22"/>
          <w:u w:val="single"/>
        </w:rPr>
        <w:t> </w:t>
      </w:r>
      <w:r>
        <w:rPr>
          <w:i/>
          <w:sz w:val="22"/>
          <w:u w:val="single"/>
        </w:rPr>
        <w:t>de</w:t>
      </w:r>
      <w:r>
        <w:rPr>
          <w:i/>
          <w:spacing w:val="-2"/>
          <w:sz w:val="22"/>
          <w:u w:val="single"/>
        </w:rPr>
        <w:t> </w:t>
      </w:r>
      <w:r>
        <w:rPr>
          <w:i/>
          <w:spacing w:val="-4"/>
          <w:sz w:val="22"/>
          <w:u w:val="single"/>
        </w:rPr>
        <w:t>2020</w:t>
      </w:r>
    </w:p>
    <w:p>
      <w:pPr>
        <w:pStyle w:val="BodyText"/>
        <w:spacing w:before="10"/>
        <w:rPr>
          <w:i/>
        </w:rPr>
      </w:pPr>
    </w:p>
    <w:p>
      <w:pPr>
        <w:pStyle w:val="BodyText"/>
        <w:spacing w:line="276" w:lineRule="auto"/>
        <w:ind w:left="144" w:right="141"/>
        <w:jc w:val="both"/>
      </w:pPr>
      <w:r>
        <w:rPr/>
        <w:t>O</w:t>
      </w:r>
      <w:r>
        <w:rPr>
          <w:spacing w:val="-4"/>
        </w:rPr>
        <w:t> </w:t>
      </w:r>
      <w:r>
        <w:rPr/>
        <w:t>objetivo</w:t>
      </w:r>
      <w:r>
        <w:rPr>
          <w:spacing w:val="-2"/>
        </w:rPr>
        <w:t> </w:t>
      </w:r>
      <w:r>
        <w:rPr/>
        <w:t>desse</w:t>
      </w:r>
      <w:r>
        <w:rPr>
          <w:spacing w:val="-4"/>
        </w:rPr>
        <w:t> </w:t>
      </w:r>
      <w:r>
        <w:rPr/>
        <w:t>passo</w:t>
      </w:r>
      <w:r>
        <w:rPr>
          <w:spacing w:val="-2"/>
        </w:rPr>
        <w:t> </w:t>
      </w:r>
      <w:r>
        <w:rPr/>
        <w:t>foi</w:t>
      </w:r>
      <w:r>
        <w:rPr>
          <w:spacing w:val="-1"/>
        </w:rPr>
        <w:t> </w:t>
      </w:r>
      <w:r>
        <w:rPr/>
        <w:t>atualizar as</w:t>
      </w:r>
      <w:r>
        <w:rPr>
          <w:spacing w:val="-1"/>
        </w:rPr>
        <w:t> </w:t>
      </w:r>
      <w:r>
        <w:rPr/>
        <w:t>estimativas</w:t>
      </w:r>
      <w:r>
        <w:rPr>
          <w:spacing w:val="-1"/>
        </w:rPr>
        <w:t> </w:t>
      </w:r>
      <w:r>
        <w:rPr/>
        <w:t>populacionais</w:t>
      </w:r>
      <w:r>
        <w:rPr>
          <w:spacing w:val="-1"/>
        </w:rPr>
        <w:t> </w:t>
      </w:r>
      <w:r>
        <w:rPr/>
        <w:t>para a</w:t>
      </w:r>
      <w:r>
        <w:rPr>
          <w:spacing w:val="-4"/>
        </w:rPr>
        <w:t> </w:t>
      </w:r>
      <w:r>
        <w:rPr/>
        <w:t>população</w:t>
      </w:r>
      <w:r>
        <w:rPr>
          <w:spacing w:val="-2"/>
        </w:rPr>
        <w:t> </w:t>
      </w:r>
      <w:r>
        <w:rPr/>
        <w:t>de 10 anos ou</w:t>
      </w:r>
      <w:r>
        <w:rPr>
          <w:spacing w:val="-2"/>
        </w:rPr>
        <w:t> </w:t>
      </w:r>
      <w:r>
        <w:rPr/>
        <w:t>mais</w:t>
      </w:r>
      <w:r>
        <w:rPr>
          <w:spacing w:val="-1"/>
        </w:rPr>
        <w:t> </w:t>
      </w:r>
      <w:r>
        <w:rPr/>
        <w:t>de idade</w:t>
      </w:r>
      <w:r>
        <w:rPr>
          <w:spacing w:val="-3"/>
        </w:rPr>
        <w:t> </w:t>
      </w:r>
      <w:r>
        <w:rPr/>
        <w:t>da pesquisa TID Domicílios 2019, tendo como base dados divulgados pelo IBGE no primeiro trimestre de 2020. Os cálculos atualizaram o total da população de 10 anos ou mais de idade a partir das estimativas informadas nos microdados</w:t>
      </w:r>
      <w:r>
        <w:rPr>
          <w:spacing w:val="-7"/>
        </w:rPr>
        <w:t> </w:t>
      </w:r>
      <w:r>
        <w:rPr/>
        <w:t>da</w:t>
      </w:r>
      <w:r>
        <w:rPr>
          <w:spacing w:val="-9"/>
        </w:rPr>
        <w:t> </w:t>
      </w:r>
      <w:r>
        <w:rPr/>
        <w:t>PNADC</w:t>
      </w:r>
      <w:r>
        <w:rPr>
          <w:spacing w:val="-8"/>
        </w:rPr>
        <w:t> </w:t>
      </w:r>
      <w:r>
        <w:rPr/>
        <w:t>do</w:t>
      </w:r>
      <w:r>
        <w:rPr>
          <w:spacing w:val="-8"/>
        </w:rPr>
        <w:t> </w:t>
      </w:r>
      <w:r>
        <w:rPr/>
        <w:t>primeiro</w:t>
      </w:r>
      <w:r>
        <w:rPr>
          <w:spacing w:val="-8"/>
        </w:rPr>
        <w:t> </w:t>
      </w:r>
      <w:r>
        <w:rPr/>
        <w:t>trimestre</w:t>
      </w:r>
      <w:r>
        <w:rPr>
          <w:spacing w:val="-10"/>
        </w:rPr>
        <w:t> </w:t>
      </w:r>
      <w:r>
        <w:rPr/>
        <w:t>de</w:t>
      </w:r>
      <w:r>
        <w:rPr>
          <w:spacing w:val="-9"/>
        </w:rPr>
        <w:t> </w:t>
      </w:r>
      <w:r>
        <w:rPr/>
        <w:t>2020.</w:t>
      </w:r>
      <w:r>
        <w:rPr>
          <w:spacing w:val="-8"/>
        </w:rPr>
        <w:t> </w:t>
      </w:r>
      <w:r>
        <w:rPr/>
        <w:t>Em</w:t>
      </w:r>
      <w:r>
        <w:rPr>
          <w:spacing w:val="-8"/>
        </w:rPr>
        <w:t> </w:t>
      </w:r>
      <w:r>
        <w:rPr/>
        <w:t>seguida,</w:t>
      </w:r>
      <w:r>
        <w:rPr>
          <w:spacing w:val="-7"/>
        </w:rPr>
        <w:t> </w:t>
      </w:r>
      <w:r>
        <w:rPr/>
        <w:t>e</w:t>
      </w:r>
      <w:r>
        <w:rPr>
          <w:spacing w:val="-13"/>
        </w:rPr>
        <w:t> </w:t>
      </w:r>
      <w:r>
        <w:rPr/>
        <w:t>seguindo</w:t>
      </w:r>
      <w:r>
        <w:rPr>
          <w:spacing w:val="-8"/>
        </w:rPr>
        <w:t> </w:t>
      </w:r>
      <w:r>
        <w:rPr/>
        <w:t>a</w:t>
      </w:r>
      <w:r>
        <w:rPr>
          <w:spacing w:val="-10"/>
        </w:rPr>
        <w:t> </w:t>
      </w:r>
      <w:r>
        <w:rPr/>
        <w:t>mesma</w:t>
      </w:r>
      <w:r>
        <w:rPr>
          <w:spacing w:val="-9"/>
        </w:rPr>
        <w:t> </w:t>
      </w:r>
      <w:r>
        <w:rPr/>
        <w:t>distribuição</w:t>
      </w:r>
      <w:r>
        <w:rPr>
          <w:spacing w:val="-8"/>
        </w:rPr>
        <w:t> </w:t>
      </w:r>
      <w:r>
        <w:rPr/>
        <w:t>percentual</w:t>
      </w:r>
      <w:r>
        <w:rPr>
          <w:spacing w:val="-7"/>
        </w:rPr>
        <w:t> </w:t>
      </w:r>
      <w:r>
        <w:rPr/>
        <w:t>dos calibradores utilizados na pesquisa TIC Domicílios 2019, foi refeita a calibração dos pesos da pesquisa segundo os novos totais das distribuições marginais das variáveis consideradas na calibração.</w:t>
      </w:r>
      <w:r>
        <w:rPr>
          <w:vertAlign w:val="superscript"/>
        </w:rPr>
        <w:t>3</w:t>
      </w:r>
    </w:p>
    <w:p>
      <w:pPr>
        <w:spacing w:before="240"/>
        <w:ind w:left="144" w:right="0" w:firstLine="0"/>
        <w:jc w:val="both"/>
        <w:rPr>
          <w:i/>
          <w:sz w:val="22"/>
        </w:rPr>
      </w:pPr>
      <w:r>
        <w:rPr>
          <w:i/>
          <w:sz w:val="22"/>
          <w:u w:val="single"/>
        </w:rPr>
        <w:t>Passo</w:t>
      </w:r>
      <w:r>
        <w:rPr>
          <w:i/>
          <w:spacing w:val="-1"/>
          <w:sz w:val="22"/>
          <w:u w:val="single"/>
        </w:rPr>
        <w:t> </w:t>
      </w:r>
      <w:r>
        <w:rPr>
          <w:i/>
          <w:sz w:val="22"/>
          <w:u w:val="single"/>
        </w:rPr>
        <w:t>II.</w:t>
      </w:r>
      <w:r>
        <w:rPr>
          <w:i/>
          <w:spacing w:val="-4"/>
          <w:sz w:val="22"/>
          <w:u w:val="single"/>
        </w:rPr>
        <w:t> </w:t>
      </w:r>
      <w:r>
        <w:rPr>
          <w:i/>
          <w:sz w:val="22"/>
          <w:u w:val="single"/>
        </w:rPr>
        <w:t>Ajuste</w:t>
      </w:r>
      <w:r>
        <w:rPr>
          <w:i/>
          <w:spacing w:val="-1"/>
          <w:sz w:val="22"/>
          <w:u w:val="single"/>
        </w:rPr>
        <w:t> </w:t>
      </w:r>
      <w:r>
        <w:rPr>
          <w:i/>
          <w:sz w:val="22"/>
          <w:u w:val="single"/>
        </w:rPr>
        <w:t>do</w:t>
      </w:r>
      <w:r>
        <w:rPr>
          <w:i/>
          <w:spacing w:val="-5"/>
          <w:sz w:val="22"/>
          <w:u w:val="single"/>
        </w:rPr>
        <w:t> </w:t>
      </w:r>
      <w:r>
        <w:rPr>
          <w:i/>
          <w:sz w:val="22"/>
          <w:u w:val="single"/>
        </w:rPr>
        <w:t>modelo</w:t>
      </w:r>
      <w:r>
        <w:rPr>
          <w:i/>
          <w:spacing w:val="-1"/>
          <w:sz w:val="22"/>
          <w:u w:val="single"/>
        </w:rPr>
        <w:t> </w:t>
      </w:r>
      <w:r>
        <w:rPr>
          <w:i/>
          <w:sz w:val="22"/>
          <w:u w:val="single"/>
        </w:rPr>
        <w:t>de</w:t>
      </w:r>
      <w:r>
        <w:rPr>
          <w:i/>
          <w:spacing w:val="2"/>
          <w:sz w:val="22"/>
          <w:u w:val="single"/>
        </w:rPr>
        <w:t> </w:t>
      </w:r>
      <w:r>
        <w:rPr>
          <w:i/>
          <w:sz w:val="22"/>
          <w:u w:val="single"/>
        </w:rPr>
        <w:t>regressão logística</w:t>
      </w:r>
      <w:r>
        <w:rPr>
          <w:i/>
          <w:spacing w:val="-5"/>
          <w:sz w:val="22"/>
          <w:u w:val="single"/>
        </w:rPr>
        <w:t> </w:t>
      </w:r>
      <w:r>
        <w:rPr>
          <w:i/>
          <w:sz w:val="22"/>
          <w:u w:val="single"/>
        </w:rPr>
        <w:t>para</w:t>
      </w:r>
      <w:r>
        <w:rPr>
          <w:i/>
          <w:spacing w:val="-1"/>
          <w:sz w:val="22"/>
          <w:u w:val="single"/>
        </w:rPr>
        <w:t> </w:t>
      </w:r>
      <w:r>
        <w:rPr>
          <w:i/>
          <w:sz w:val="22"/>
          <w:u w:val="single"/>
        </w:rPr>
        <w:t>a</w:t>
      </w:r>
      <w:r>
        <w:rPr>
          <w:i/>
          <w:spacing w:val="-1"/>
          <w:sz w:val="22"/>
          <w:u w:val="single"/>
        </w:rPr>
        <w:t> </w:t>
      </w:r>
      <w:r>
        <w:rPr>
          <w:i/>
          <w:sz w:val="22"/>
          <w:u w:val="single"/>
        </w:rPr>
        <w:t>variável</w:t>
      </w:r>
      <w:r>
        <w:rPr>
          <w:i/>
          <w:spacing w:val="-3"/>
          <w:sz w:val="22"/>
          <w:u w:val="single"/>
        </w:rPr>
        <w:t> </w:t>
      </w:r>
      <w:r>
        <w:rPr>
          <w:i/>
          <w:sz w:val="22"/>
          <w:u w:val="single"/>
        </w:rPr>
        <w:t>“usuário</w:t>
      </w:r>
      <w:r>
        <w:rPr>
          <w:i/>
          <w:spacing w:val="-1"/>
          <w:sz w:val="22"/>
          <w:u w:val="single"/>
        </w:rPr>
        <w:t> </w:t>
      </w:r>
      <w:r>
        <w:rPr>
          <w:i/>
          <w:sz w:val="22"/>
          <w:u w:val="single"/>
        </w:rPr>
        <w:t>de</w:t>
      </w:r>
      <w:r>
        <w:rPr>
          <w:i/>
          <w:spacing w:val="-1"/>
          <w:sz w:val="22"/>
          <w:u w:val="single"/>
        </w:rPr>
        <w:t> </w:t>
      </w:r>
      <w:r>
        <w:rPr>
          <w:i/>
          <w:sz w:val="22"/>
          <w:u w:val="single"/>
        </w:rPr>
        <w:t>Internet” entre</w:t>
      </w:r>
      <w:r>
        <w:rPr>
          <w:i/>
          <w:spacing w:val="-5"/>
          <w:sz w:val="22"/>
          <w:u w:val="single"/>
        </w:rPr>
        <w:t> </w:t>
      </w:r>
      <w:r>
        <w:rPr>
          <w:i/>
          <w:sz w:val="22"/>
          <w:u w:val="single"/>
        </w:rPr>
        <w:t>os</w:t>
      </w:r>
      <w:r>
        <w:rPr>
          <w:i/>
          <w:spacing w:val="-5"/>
          <w:sz w:val="22"/>
          <w:u w:val="single"/>
        </w:rPr>
        <w:t> </w:t>
      </w:r>
      <w:r>
        <w:rPr>
          <w:i/>
          <w:sz w:val="22"/>
          <w:u w:val="single"/>
        </w:rPr>
        <w:t>respondentes</w:t>
      </w:r>
      <w:r>
        <w:rPr>
          <w:i/>
          <w:spacing w:val="-2"/>
          <w:sz w:val="22"/>
          <w:u w:val="single"/>
        </w:rPr>
        <w:t> </w:t>
      </w:r>
      <w:r>
        <w:rPr>
          <w:i/>
          <w:sz w:val="22"/>
          <w:u w:val="single"/>
        </w:rPr>
        <w:t>de</w:t>
      </w:r>
      <w:r>
        <w:rPr>
          <w:i/>
          <w:spacing w:val="-1"/>
          <w:sz w:val="22"/>
          <w:u w:val="single"/>
        </w:rPr>
        <w:t> </w:t>
      </w:r>
      <w:r>
        <w:rPr>
          <w:i/>
          <w:spacing w:val="-5"/>
          <w:sz w:val="22"/>
          <w:u w:val="single"/>
        </w:rPr>
        <w:t>16</w:t>
      </w:r>
    </w:p>
    <w:p>
      <w:pPr>
        <w:spacing w:before="40"/>
        <w:ind w:left="144" w:right="0" w:firstLine="0"/>
        <w:jc w:val="both"/>
        <w:rPr>
          <w:i/>
          <w:sz w:val="22"/>
        </w:rPr>
      </w:pPr>
      <w:r>
        <w:rPr>
          <w:i/>
          <w:sz w:val="22"/>
          <w:u w:val="single"/>
        </w:rPr>
        <w:t>ou</w:t>
      </w:r>
      <w:r>
        <w:rPr>
          <w:i/>
          <w:spacing w:val="-6"/>
          <w:sz w:val="22"/>
          <w:u w:val="single"/>
        </w:rPr>
        <w:t> </w:t>
      </w:r>
      <w:r>
        <w:rPr>
          <w:i/>
          <w:sz w:val="22"/>
          <w:u w:val="single"/>
        </w:rPr>
        <w:t>mais</w:t>
      </w:r>
      <w:r>
        <w:rPr>
          <w:i/>
          <w:spacing w:val="-5"/>
          <w:sz w:val="22"/>
          <w:u w:val="single"/>
        </w:rPr>
        <w:t> </w:t>
      </w:r>
      <w:r>
        <w:rPr>
          <w:i/>
          <w:sz w:val="22"/>
          <w:u w:val="single"/>
        </w:rPr>
        <w:t>anos de</w:t>
      </w:r>
      <w:r>
        <w:rPr>
          <w:i/>
          <w:spacing w:val="-1"/>
          <w:sz w:val="22"/>
          <w:u w:val="single"/>
        </w:rPr>
        <w:t> </w:t>
      </w:r>
      <w:r>
        <w:rPr>
          <w:i/>
          <w:sz w:val="22"/>
          <w:u w:val="single"/>
        </w:rPr>
        <w:t>idade</w:t>
      </w:r>
      <w:r>
        <w:rPr>
          <w:i/>
          <w:spacing w:val="-4"/>
          <w:sz w:val="22"/>
          <w:u w:val="single"/>
        </w:rPr>
        <w:t> </w:t>
      </w:r>
      <w:r>
        <w:rPr>
          <w:i/>
          <w:sz w:val="22"/>
          <w:u w:val="single"/>
        </w:rPr>
        <w:t>na TIC</w:t>
      </w:r>
      <w:r>
        <w:rPr>
          <w:i/>
          <w:spacing w:val="-2"/>
          <w:sz w:val="22"/>
          <w:u w:val="single"/>
        </w:rPr>
        <w:t> </w:t>
      </w:r>
      <w:r>
        <w:rPr>
          <w:i/>
          <w:sz w:val="22"/>
          <w:u w:val="single"/>
        </w:rPr>
        <w:t>Domicílios</w:t>
      </w:r>
      <w:r>
        <w:rPr>
          <w:i/>
          <w:spacing w:val="-4"/>
          <w:sz w:val="22"/>
          <w:u w:val="single"/>
        </w:rPr>
        <w:t> 2019</w:t>
      </w:r>
    </w:p>
    <w:p>
      <w:pPr>
        <w:pStyle w:val="BodyText"/>
        <w:spacing w:before="15"/>
        <w:rPr>
          <w:i/>
        </w:rPr>
      </w:pPr>
    </w:p>
    <w:p>
      <w:pPr>
        <w:pStyle w:val="BodyText"/>
        <w:spacing w:line="276" w:lineRule="auto"/>
        <w:ind w:left="144" w:right="131"/>
      </w:pPr>
      <w:r>
        <w:rPr/>
        <w:t>Essa</w:t>
      </w:r>
      <w:r>
        <w:rPr>
          <w:spacing w:val="23"/>
        </w:rPr>
        <w:t> </w:t>
      </w:r>
      <w:r>
        <w:rPr/>
        <w:t>etapa</w:t>
      </w:r>
      <w:r>
        <w:rPr>
          <w:spacing w:val="23"/>
        </w:rPr>
        <w:t> </w:t>
      </w:r>
      <w:r>
        <w:rPr/>
        <w:t>buscou</w:t>
      </w:r>
      <w:r>
        <w:rPr>
          <w:spacing w:val="24"/>
        </w:rPr>
        <w:t> </w:t>
      </w:r>
      <w:r>
        <w:rPr/>
        <w:t>estimar</w:t>
      </w:r>
      <w:r>
        <w:rPr>
          <w:spacing w:val="27"/>
        </w:rPr>
        <w:t> </w:t>
      </w:r>
      <w:r>
        <w:rPr/>
        <w:t>com</w:t>
      </w:r>
      <w:r>
        <w:rPr>
          <w:spacing w:val="24"/>
        </w:rPr>
        <w:t> </w:t>
      </w:r>
      <w:r>
        <w:rPr/>
        <w:t>qualidade</w:t>
      </w:r>
      <w:r>
        <w:rPr>
          <w:spacing w:val="23"/>
        </w:rPr>
        <w:t> </w:t>
      </w:r>
      <w:r>
        <w:rPr/>
        <w:t>a</w:t>
      </w:r>
      <w:r>
        <w:rPr>
          <w:spacing w:val="26"/>
        </w:rPr>
        <w:t> </w:t>
      </w:r>
      <w:r>
        <w:rPr/>
        <w:t>probabilidade</w:t>
      </w:r>
      <w:r>
        <w:rPr>
          <w:spacing w:val="23"/>
        </w:rPr>
        <w:t> </w:t>
      </w:r>
      <w:r>
        <w:rPr/>
        <w:t>de</w:t>
      </w:r>
      <w:r>
        <w:rPr>
          <w:spacing w:val="23"/>
        </w:rPr>
        <w:t> </w:t>
      </w:r>
      <w:r>
        <w:rPr/>
        <w:t>um</w:t>
      </w:r>
      <w:r>
        <w:rPr>
          <w:spacing w:val="24"/>
        </w:rPr>
        <w:t> </w:t>
      </w:r>
      <w:r>
        <w:rPr/>
        <w:t>indivíduo</w:t>
      </w:r>
      <w:r>
        <w:rPr>
          <w:spacing w:val="24"/>
        </w:rPr>
        <w:t> </w:t>
      </w:r>
      <w:r>
        <w:rPr/>
        <w:t>ser</w:t>
      </w:r>
      <w:r>
        <w:rPr>
          <w:spacing w:val="23"/>
        </w:rPr>
        <w:t> </w:t>
      </w:r>
      <w:r>
        <w:rPr/>
        <w:t>usuário</w:t>
      </w:r>
      <w:r>
        <w:rPr>
          <w:spacing w:val="21"/>
        </w:rPr>
        <w:t> </w:t>
      </w:r>
      <w:r>
        <w:rPr/>
        <w:t>de</w:t>
      </w:r>
      <w:r>
        <w:rPr>
          <w:spacing w:val="23"/>
        </w:rPr>
        <w:t> </w:t>
      </w:r>
      <w:r>
        <w:rPr/>
        <w:t>Internet</w:t>
      </w:r>
      <w:r>
        <w:rPr>
          <w:spacing w:val="37"/>
        </w:rPr>
        <w:t> </w:t>
      </w:r>
      <w:r>
        <w:rPr/>
        <w:t>a</w:t>
      </w:r>
      <w:r>
        <w:rPr>
          <w:spacing w:val="23"/>
        </w:rPr>
        <w:t> </w:t>
      </w:r>
      <w:r>
        <w:rPr/>
        <w:t>partir</w:t>
      </w:r>
      <w:r>
        <w:rPr>
          <w:spacing w:val="23"/>
        </w:rPr>
        <w:t> </w:t>
      </w:r>
      <w:r>
        <w:rPr/>
        <w:t>de variáveis</w:t>
      </w:r>
      <w:r>
        <w:rPr>
          <w:spacing w:val="-1"/>
        </w:rPr>
        <w:t> </w:t>
      </w:r>
      <w:r>
        <w:rPr/>
        <w:t>socioeconômicas</w:t>
      </w:r>
      <w:r>
        <w:rPr>
          <w:spacing w:val="3"/>
        </w:rPr>
        <w:t> </w:t>
      </w:r>
      <w:r>
        <w:rPr/>
        <w:t>observadas</w:t>
      </w:r>
      <w:r>
        <w:rPr>
          <w:spacing w:val="2"/>
        </w:rPr>
        <w:t> </w:t>
      </w:r>
      <w:r>
        <w:rPr/>
        <w:t>na</w:t>
      </w:r>
      <w:r>
        <w:rPr>
          <w:spacing w:val="3"/>
        </w:rPr>
        <w:t> </w:t>
      </w:r>
      <w:r>
        <w:rPr/>
        <w:t>pesquisa</w:t>
      </w:r>
      <w:r>
        <w:rPr>
          <w:spacing w:val="1"/>
        </w:rPr>
        <w:t> </w:t>
      </w:r>
      <w:r>
        <w:rPr/>
        <w:t>TIC Domicílios</w:t>
      </w:r>
      <w:r>
        <w:rPr>
          <w:spacing w:val="2"/>
        </w:rPr>
        <w:t> </w:t>
      </w:r>
      <w:r>
        <w:rPr/>
        <w:t>2019</w:t>
      </w:r>
      <w:r>
        <w:rPr>
          <w:spacing w:val="5"/>
        </w:rPr>
        <w:t> </w:t>
      </w:r>
      <w:r>
        <w:rPr/>
        <w:t>e</w:t>
      </w:r>
      <w:r>
        <w:rPr>
          <w:spacing w:val="-1"/>
        </w:rPr>
        <w:t> </w:t>
      </w:r>
      <w:r>
        <w:rPr/>
        <w:t>que</w:t>
      </w:r>
      <w:r>
        <w:rPr>
          <w:spacing w:val="-2"/>
        </w:rPr>
        <w:t> </w:t>
      </w:r>
      <w:r>
        <w:rPr/>
        <w:t>também</w:t>
      </w:r>
      <w:r>
        <w:rPr>
          <w:spacing w:val="5"/>
        </w:rPr>
        <w:t> </w:t>
      </w:r>
      <w:r>
        <w:rPr/>
        <w:t>estão</w:t>
      </w:r>
      <w:r>
        <w:rPr>
          <w:spacing w:val="1"/>
        </w:rPr>
        <w:t> </w:t>
      </w:r>
      <w:r>
        <w:rPr/>
        <w:t>disponíveis</w:t>
      </w:r>
      <w:r>
        <w:rPr>
          <w:spacing w:val="2"/>
        </w:rPr>
        <w:t> </w:t>
      </w:r>
      <w:r>
        <w:rPr/>
        <w:t>no</w:t>
      </w:r>
      <w:r>
        <w:rPr>
          <w:spacing w:val="1"/>
        </w:rPr>
        <w:t> </w:t>
      </w:r>
      <w:r>
        <w:rPr>
          <w:spacing w:val="-2"/>
        </w:rPr>
        <w:t>Painel</w:t>
      </w:r>
    </w:p>
    <w:p>
      <w:pPr>
        <w:pStyle w:val="BodyText"/>
        <w:spacing w:before="191"/>
        <w:rPr>
          <w:sz w:val="20"/>
        </w:rPr>
      </w:pPr>
      <w:r>
        <w:rPr>
          <w:sz w:val="20"/>
        </w:rPr>
        <mc:AlternateContent>
          <mc:Choice Requires="wps">
            <w:drawing>
              <wp:anchor distT="0" distB="0" distL="0" distR="0" allowOverlap="1" layoutInCell="1" locked="0" behindDoc="1" simplePos="0" relativeHeight="487588864">
                <wp:simplePos x="0" y="0"/>
                <wp:positionH relativeFrom="page">
                  <wp:posOffset>541337</wp:posOffset>
                </wp:positionH>
                <wp:positionV relativeFrom="paragraph">
                  <wp:posOffset>292014</wp:posOffset>
                </wp:positionV>
                <wp:extent cx="1829435" cy="1016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22.993282pt;width:144.03pt;height:.79999pt;mso-position-horizontal-relative:page;mso-position-vertical-relative:paragraph;z-index:-15727616;mso-wrap-distance-left:0;mso-wrap-distance-right:0" id="docshape15" filled="true" fillcolor="#000000" stroked="false">
                <v:fill type="solid"/>
                <w10:wrap type="topAndBottom"/>
              </v:rect>
            </w:pict>
          </mc:Fallback>
        </mc:AlternateContent>
      </w:r>
    </w:p>
    <w:p>
      <w:pPr>
        <w:spacing w:before="101"/>
        <w:ind w:left="144" w:right="131" w:firstLine="0"/>
        <w:jc w:val="left"/>
        <w:rPr>
          <w:sz w:val="20"/>
        </w:rPr>
      </w:pPr>
      <w:r>
        <w:rPr>
          <w:sz w:val="20"/>
          <w:vertAlign w:val="superscript"/>
        </w:rPr>
        <w:t>3</w:t>
      </w:r>
      <w:r>
        <w:rPr>
          <w:sz w:val="20"/>
          <w:vertAlign w:val="baseline"/>
        </w:rPr>
        <w:t> Maiores detalhes sobre as variáveis de calibração</w:t>
      </w:r>
      <w:r>
        <w:rPr>
          <w:spacing w:val="-1"/>
          <w:sz w:val="20"/>
          <w:vertAlign w:val="baseline"/>
        </w:rPr>
        <w:t> </w:t>
      </w:r>
      <w:r>
        <w:rPr>
          <w:sz w:val="20"/>
          <w:vertAlign w:val="baseline"/>
        </w:rPr>
        <w:t>de usuários podem ser obtidas no</w:t>
      </w:r>
      <w:r>
        <w:rPr>
          <w:spacing w:val="-1"/>
          <w:sz w:val="20"/>
          <w:vertAlign w:val="baseline"/>
        </w:rPr>
        <w:t> </w:t>
      </w:r>
      <w:r>
        <w:rPr>
          <w:sz w:val="20"/>
          <w:vertAlign w:val="baseline"/>
        </w:rPr>
        <w:t>capítulo</w:t>
      </w:r>
      <w:r>
        <w:rPr>
          <w:spacing w:val="-1"/>
          <w:sz w:val="20"/>
          <w:vertAlign w:val="baseline"/>
        </w:rPr>
        <w:t> </w:t>
      </w:r>
      <w:r>
        <w:rPr>
          <w:sz w:val="20"/>
          <w:vertAlign w:val="baseline"/>
        </w:rPr>
        <w:t>“Relatório</w:t>
      </w:r>
      <w:r>
        <w:rPr>
          <w:spacing w:val="-1"/>
          <w:sz w:val="20"/>
          <w:vertAlign w:val="baseline"/>
        </w:rPr>
        <w:t> </w:t>
      </w:r>
      <w:r>
        <w:rPr>
          <w:sz w:val="20"/>
          <w:vertAlign w:val="baseline"/>
        </w:rPr>
        <w:t>Metodológico” da pesquisa</w:t>
      </w:r>
      <w:r>
        <w:rPr>
          <w:spacing w:val="-6"/>
          <w:sz w:val="20"/>
          <w:vertAlign w:val="baseline"/>
        </w:rPr>
        <w:t> </w:t>
      </w:r>
      <w:r>
        <w:rPr>
          <w:sz w:val="20"/>
          <w:vertAlign w:val="baseline"/>
        </w:rPr>
        <w:t>TIC</w:t>
      </w:r>
      <w:r>
        <w:rPr>
          <w:spacing w:val="-5"/>
          <w:sz w:val="20"/>
          <w:vertAlign w:val="baseline"/>
        </w:rPr>
        <w:t> </w:t>
      </w:r>
      <w:r>
        <w:rPr>
          <w:sz w:val="20"/>
          <w:vertAlign w:val="baseline"/>
        </w:rPr>
        <w:t>Domicílios.</w:t>
      </w:r>
      <w:r>
        <w:rPr>
          <w:spacing w:val="-4"/>
          <w:sz w:val="20"/>
          <w:vertAlign w:val="baseline"/>
        </w:rPr>
        <w:t> </w:t>
      </w:r>
      <w:r>
        <w:rPr>
          <w:sz w:val="20"/>
          <w:vertAlign w:val="baseline"/>
        </w:rPr>
        <w:t>Recuperado</w:t>
      </w:r>
      <w:r>
        <w:rPr>
          <w:spacing w:val="-7"/>
          <w:sz w:val="20"/>
          <w:vertAlign w:val="baseline"/>
        </w:rPr>
        <w:t> </w:t>
      </w:r>
      <w:r>
        <w:rPr>
          <w:sz w:val="20"/>
          <w:vertAlign w:val="baseline"/>
        </w:rPr>
        <w:t>em</w:t>
      </w:r>
      <w:r>
        <w:rPr>
          <w:spacing w:val="-1"/>
          <w:sz w:val="20"/>
          <w:vertAlign w:val="baseline"/>
        </w:rPr>
        <w:t> </w:t>
      </w:r>
      <w:r>
        <w:rPr>
          <w:sz w:val="20"/>
          <w:vertAlign w:val="baseline"/>
        </w:rPr>
        <w:t>1</w:t>
      </w:r>
      <w:r>
        <w:rPr>
          <w:spacing w:val="-7"/>
          <w:sz w:val="20"/>
          <w:vertAlign w:val="baseline"/>
        </w:rPr>
        <w:t> </w:t>
      </w:r>
      <w:r>
        <w:rPr>
          <w:sz w:val="20"/>
          <w:vertAlign w:val="baseline"/>
        </w:rPr>
        <w:t>agosto,</w:t>
      </w:r>
      <w:r>
        <w:rPr>
          <w:spacing w:val="-4"/>
          <w:sz w:val="20"/>
          <w:vertAlign w:val="baseline"/>
        </w:rPr>
        <w:t> </w:t>
      </w:r>
      <w:r>
        <w:rPr>
          <w:sz w:val="20"/>
          <w:vertAlign w:val="baseline"/>
        </w:rPr>
        <w:t>2020,</w:t>
      </w:r>
      <w:r>
        <w:rPr>
          <w:spacing w:val="-4"/>
          <w:sz w:val="20"/>
          <w:vertAlign w:val="baseline"/>
        </w:rPr>
        <w:t> </w:t>
      </w:r>
      <w:r>
        <w:rPr>
          <w:sz w:val="20"/>
          <w:vertAlign w:val="baseline"/>
        </w:rPr>
        <w:t>de </w:t>
      </w:r>
      <w:hyperlink r:id="rId9">
        <w:r>
          <w:rPr>
            <w:sz w:val="20"/>
            <w:vertAlign w:val="baseline"/>
          </w:rPr>
          <w:t>http://cetic.br/media/microdados/256/ticdom_2019_relatorio_</w:t>
        </w:r>
      </w:hyperlink>
      <w:r>
        <w:rPr>
          <w:sz w:val="20"/>
          <w:vertAlign w:val="baseline"/>
        </w:rPr>
        <w:t> </w:t>
      </w:r>
      <w:r>
        <w:rPr>
          <w:spacing w:val="-2"/>
          <w:sz w:val="20"/>
          <w:vertAlign w:val="baseline"/>
        </w:rPr>
        <w:t>metodologico_v1.0.pdf</w:t>
      </w:r>
    </w:p>
    <w:p>
      <w:pPr>
        <w:spacing w:after="0"/>
        <w:jc w:val="left"/>
        <w:rPr>
          <w:sz w:val="20"/>
        </w:rPr>
        <w:sectPr>
          <w:pgSz w:w="11910" w:h="16840"/>
          <w:pgMar w:header="737" w:footer="1652" w:top="2180" w:bottom="1840" w:left="708" w:right="708"/>
        </w:sectPr>
      </w:pPr>
    </w:p>
    <w:p>
      <w:pPr>
        <w:pStyle w:val="BodyText"/>
      </w:pPr>
    </w:p>
    <w:p>
      <w:pPr>
        <w:pStyle w:val="BodyText"/>
        <w:spacing w:before="243"/>
      </w:pPr>
    </w:p>
    <w:p>
      <w:pPr>
        <w:pStyle w:val="BodyText"/>
        <w:spacing w:line="276" w:lineRule="auto"/>
        <w:ind w:left="144" w:right="131"/>
      </w:pPr>
      <w:r>
        <w:rPr/>
        <w:t>TIC COVID-19. Com o objetivo de obter um</w:t>
      </w:r>
      <w:r>
        <w:rPr>
          <w:spacing w:val="21"/>
        </w:rPr>
        <w:t> </w:t>
      </w:r>
      <w:r>
        <w:rPr/>
        <w:t>modelo parcimonioso e que desse bons resultados na estimação de</w:t>
      </w:r>
      <w:r>
        <w:rPr>
          <w:spacing w:val="40"/>
        </w:rPr>
        <w:t> </w:t>
      </w:r>
      <w:r>
        <w:rPr/>
        <w:t>usuários de Internet foram testados diversos modelos da forma:</w:t>
      </w:r>
    </w:p>
    <w:p>
      <w:pPr>
        <w:pStyle w:val="BodyText"/>
      </w:pPr>
    </w:p>
    <w:p>
      <w:pPr>
        <w:pStyle w:val="BodyText"/>
        <w:spacing w:before="4"/>
      </w:pPr>
    </w:p>
    <w:p>
      <w:pPr>
        <w:pStyle w:val="BodyText"/>
        <w:spacing w:line="223" w:lineRule="exact"/>
        <w:ind w:left="1595" w:right="2270"/>
        <w:jc w:val="center"/>
        <w:rPr>
          <w:rFonts w:ascii="Cambria Math" w:eastAsia="Cambria Math"/>
          <w:position w:val="1"/>
        </w:rPr>
      </w:pPr>
      <w:r>
        <w:rPr>
          <w:rFonts w:ascii="Cambria Math" w:eastAsia="Cambria Math"/>
          <w:spacing w:val="-2"/>
          <w:w w:val="105"/>
        </w:rPr>
        <w:t>𝑃</w:t>
      </w:r>
      <w:r>
        <w:rPr>
          <w:rFonts w:ascii="Cambria Math" w:eastAsia="Cambria Math"/>
          <w:spacing w:val="-2"/>
          <w:w w:val="105"/>
          <w:position w:val="1"/>
        </w:rPr>
        <w:t>(</w:t>
      </w:r>
      <w:r>
        <w:rPr>
          <w:rFonts w:ascii="Cambria Math" w:eastAsia="Cambria Math"/>
          <w:spacing w:val="-2"/>
          <w:w w:val="105"/>
        </w:rPr>
        <w:t>𝑌</w:t>
      </w:r>
      <w:r>
        <w:rPr>
          <w:rFonts w:ascii="Cambria Math" w:eastAsia="Cambria Math"/>
          <w:spacing w:val="-2"/>
          <w:w w:val="105"/>
          <w:vertAlign w:val="subscript"/>
        </w:rPr>
        <w:t>𝑖</w:t>
      </w:r>
      <w:r>
        <w:rPr>
          <w:rFonts w:ascii="Cambria Math" w:eastAsia="Cambria Math"/>
          <w:spacing w:val="2"/>
          <w:w w:val="105"/>
          <w:vertAlign w:val="baseline"/>
        </w:rPr>
        <w:t> </w:t>
      </w:r>
      <w:r>
        <w:rPr>
          <w:rFonts w:ascii="Cambria Math" w:eastAsia="Cambria Math"/>
          <w:spacing w:val="-2"/>
          <w:w w:val="105"/>
          <w:vertAlign w:val="baseline"/>
        </w:rPr>
        <w:t>=</w:t>
      </w:r>
      <w:r>
        <w:rPr>
          <w:rFonts w:ascii="Cambria Math" w:eastAsia="Cambria Math"/>
          <w:spacing w:val="-6"/>
          <w:w w:val="105"/>
          <w:vertAlign w:val="baseline"/>
        </w:rPr>
        <w:t> </w:t>
      </w:r>
      <w:r>
        <w:rPr>
          <w:rFonts w:ascii="Cambria Math" w:eastAsia="Cambria Math"/>
          <w:spacing w:val="-5"/>
          <w:w w:val="105"/>
          <w:vertAlign w:val="baseline"/>
        </w:rPr>
        <w:t>1</w:t>
      </w:r>
      <w:r>
        <w:rPr>
          <w:rFonts w:ascii="Cambria Math" w:eastAsia="Cambria Math"/>
          <w:spacing w:val="-5"/>
          <w:w w:val="105"/>
          <w:position w:val="1"/>
          <w:vertAlign w:val="baseline"/>
        </w:rPr>
        <w:t>)</w:t>
      </w:r>
    </w:p>
    <w:p>
      <w:pPr>
        <w:pStyle w:val="BodyText"/>
        <w:spacing w:line="187" w:lineRule="auto"/>
        <w:ind w:left="2275" w:right="2270"/>
        <w:jc w:val="center"/>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7000064">
                <wp:simplePos x="0" y="0"/>
                <wp:positionH relativeFrom="page">
                  <wp:posOffset>3158235</wp:posOffset>
                </wp:positionH>
                <wp:positionV relativeFrom="paragraph">
                  <wp:posOffset>58859</wp:posOffset>
                </wp:positionV>
                <wp:extent cx="815975" cy="1016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815975" cy="10160"/>
                        </a:xfrm>
                        <a:custGeom>
                          <a:avLst/>
                          <a:gdLst/>
                          <a:ahLst/>
                          <a:cxnLst/>
                          <a:rect l="l" t="t" r="r" b="b"/>
                          <a:pathLst>
                            <a:path w="815975" h="10160">
                              <a:moveTo>
                                <a:pt x="815657" y="0"/>
                              </a:moveTo>
                              <a:lnTo>
                                <a:pt x="0" y="0"/>
                              </a:lnTo>
                              <a:lnTo>
                                <a:pt x="0" y="10159"/>
                              </a:lnTo>
                              <a:lnTo>
                                <a:pt x="815657" y="10159"/>
                              </a:lnTo>
                              <a:lnTo>
                                <a:pt x="815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8.679993pt;margin-top:4.634618pt;width:64.2250pt;height:.8pt;mso-position-horizontal-relative:page;mso-position-vertical-relative:paragraph;z-index:-16316416" id="docshape22" filled="true" fillcolor="#000000" stroked="false">
                <v:fill type="solid"/>
                <w10:wrap type="none"/>
              </v:rect>
            </w:pict>
          </mc:Fallback>
        </mc:AlternateContent>
      </w:r>
      <w:r>
        <w:rPr>
          <w:rFonts w:ascii="Cambria Math" w:hAnsi="Cambria Math" w:eastAsia="Cambria Math"/>
        </w:rPr>
        <mc:AlternateContent>
          <mc:Choice Requires="wps">
            <w:drawing>
              <wp:anchor distT="0" distB="0" distL="0" distR="0" allowOverlap="1" layoutInCell="1" locked="0" behindDoc="1" simplePos="0" relativeHeight="487001088">
                <wp:simplePos x="0" y="0"/>
                <wp:positionH relativeFrom="page">
                  <wp:posOffset>3610609</wp:posOffset>
                </wp:positionH>
                <wp:positionV relativeFrom="paragraph">
                  <wp:posOffset>147471</wp:posOffset>
                </wp:positionV>
                <wp:extent cx="36195" cy="1016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6195" cy="101600"/>
                        </a:xfrm>
                        <a:prstGeom prst="rect">
                          <a:avLst/>
                        </a:prstGeom>
                      </wps:spPr>
                      <wps:txbx>
                        <w:txbxContent>
                          <w:p>
                            <w:pPr>
                              <w:spacing w:line="160" w:lineRule="exact" w:before="0"/>
                              <w:ind w:left="0" w:right="0" w:firstLine="0"/>
                              <w:jc w:val="left"/>
                              <w:rPr>
                                <w:rFonts w:ascii="Cambria Math" w:eastAsia="Cambria Math"/>
                                <w:sz w:val="16"/>
                              </w:rPr>
                            </w:pPr>
                            <w:r>
                              <w:rPr>
                                <w:rFonts w:ascii="Cambria Math" w:eastAsia="Cambria Math"/>
                                <w:spacing w:val="-10"/>
                                <w:w w:val="110"/>
                                <w:sz w:val="16"/>
                              </w:rPr>
                              <w:t>𝑖</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299988pt;margin-top:11.611961pt;width:2.85pt;height:8pt;mso-position-horizontal-relative:page;mso-position-vertical-relative:paragraph;z-index:-16315392" type="#_x0000_t202" id="docshape23" filled="false" stroked="false">
                <v:textbox inset="0,0,0,0">
                  <w:txbxContent>
                    <w:p>
                      <w:pPr>
                        <w:spacing w:line="160" w:lineRule="exact" w:before="0"/>
                        <w:ind w:left="0" w:right="0" w:firstLine="0"/>
                        <w:jc w:val="left"/>
                        <w:rPr>
                          <w:rFonts w:ascii="Cambria Math" w:eastAsia="Cambria Math"/>
                          <w:sz w:val="16"/>
                        </w:rPr>
                      </w:pPr>
                      <w:r>
                        <w:rPr>
                          <w:rFonts w:ascii="Cambria Math" w:eastAsia="Cambria Math"/>
                          <w:spacing w:val="-10"/>
                          <w:w w:val="110"/>
                          <w:sz w:val="16"/>
                        </w:rPr>
                        <w:t>𝑖</w:t>
                      </w:r>
                    </w:p>
                  </w:txbxContent>
                </v:textbox>
                <w10:wrap type="none"/>
              </v:shape>
            </w:pict>
          </mc:Fallback>
        </mc:AlternateContent>
      </w:r>
      <w:r>
        <w:rPr>
          <w:rFonts w:ascii="Cambria Math" w:hAnsi="Cambria Math" w:eastAsia="Cambria Math"/>
          <w:w w:val="105"/>
        </w:rPr>
        <w:t>𝑙𝑜𝑔</w:t>
      </w:r>
      <w:r>
        <w:rPr>
          <w:rFonts w:ascii="Cambria Math" w:hAnsi="Cambria Math" w:eastAsia="Cambria Math"/>
          <w:spacing w:val="-12"/>
          <w:w w:val="105"/>
        </w:rPr>
        <w:t> </w:t>
      </w:r>
      <w:r>
        <w:rPr>
          <w:rFonts w:ascii="Cambria Math" w:hAnsi="Cambria Math" w:eastAsia="Cambria Math"/>
          <w:w w:val="105"/>
        </w:rPr>
        <w:t>(</w:t>
      </w:r>
      <w:r>
        <w:rPr>
          <w:rFonts w:ascii="Cambria Math" w:hAnsi="Cambria Math" w:eastAsia="Cambria Math"/>
          <w:w w:val="105"/>
          <w:position w:val="-14"/>
        </w:rPr>
        <w:t>1</w:t>
      </w:r>
      <w:r>
        <w:rPr>
          <w:rFonts w:ascii="Cambria Math" w:hAnsi="Cambria Math" w:eastAsia="Cambria Math"/>
          <w:spacing w:val="-5"/>
          <w:w w:val="105"/>
          <w:position w:val="-14"/>
        </w:rPr>
        <w:t> </w:t>
      </w:r>
      <w:r>
        <w:rPr>
          <w:rFonts w:ascii="Cambria Math" w:hAnsi="Cambria Math" w:eastAsia="Cambria Math"/>
          <w:w w:val="105"/>
          <w:position w:val="-14"/>
        </w:rPr>
        <w:t>−</w:t>
      </w:r>
      <w:r>
        <w:rPr>
          <w:rFonts w:ascii="Cambria Math" w:hAnsi="Cambria Math" w:eastAsia="Cambria Math"/>
          <w:spacing w:val="-6"/>
          <w:w w:val="105"/>
          <w:position w:val="-14"/>
        </w:rPr>
        <w:t> </w:t>
      </w:r>
      <w:r>
        <w:rPr>
          <w:rFonts w:ascii="Cambria Math" w:hAnsi="Cambria Math" w:eastAsia="Cambria Math"/>
          <w:w w:val="105"/>
          <w:position w:val="-14"/>
        </w:rPr>
        <w:t>𝑃</w:t>
      </w:r>
      <w:r>
        <w:rPr>
          <w:rFonts w:ascii="Cambria Math" w:hAnsi="Cambria Math" w:eastAsia="Cambria Math"/>
          <w:w w:val="105"/>
          <w:position w:val="-13"/>
        </w:rPr>
        <w:t>(</w:t>
      </w:r>
      <w:r>
        <w:rPr>
          <w:rFonts w:ascii="Cambria Math" w:hAnsi="Cambria Math" w:eastAsia="Cambria Math"/>
          <w:w w:val="105"/>
          <w:position w:val="-14"/>
        </w:rPr>
        <w:t>𝑌</w:t>
      </w:r>
      <w:r>
        <w:rPr>
          <w:rFonts w:ascii="Cambria Math" w:hAnsi="Cambria Math" w:eastAsia="Cambria Math"/>
          <w:spacing w:val="38"/>
          <w:w w:val="105"/>
          <w:position w:val="-14"/>
        </w:rPr>
        <w:t> </w:t>
      </w:r>
      <w:r>
        <w:rPr>
          <w:rFonts w:ascii="Cambria Math" w:hAnsi="Cambria Math" w:eastAsia="Cambria Math"/>
          <w:w w:val="105"/>
          <w:position w:val="-14"/>
        </w:rPr>
        <w:t>=</w:t>
      </w:r>
      <w:r>
        <w:rPr>
          <w:rFonts w:ascii="Cambria Math" w:hAnsi="Cambria Math" w:eastAsia="Cambria Math"/>
          <w:spacing w:val="9"/>
          <w:w w:val="105"/>
          <w:position w:val="-14"/>
        </w:rPr>
        <w:t> </w:t>
      </w:r>
      <w:r>
        <w:rPr>
          <w:rFonts w:ascii="Cambria Math" w:hAnsi="Cambria Math" w:eastAsia="Cambria Math"/>
          <w:w w:val="105"/>
          <w:position w:val="-14"/>
        </w:rPr>
        <w:t>1</w:t>
      </w:r>
      <w:r>
        <w:rPr>
          <w:rFonts w:ascii="Cambria Math" w:hAnsi="Cambria Math" w:eastAsia="Cambria Math"/>
          <w:w w:val="105"/>
          <w:position w:val="-13"/>
        </w:rPr>
        <w:t>)</w:t>
      </w:r>
      <w:r>
        <w:rPr>
          <w:rFonts w:ascii="Cambria Math" w:hAnsi="Cambria Math" w:eastAsia="Cambria Math"/>
          <w:w w:val="105"/>
        </w:rPr>
        <w:t>)</w:t>
      </w:r>
      <w:r>
        <w:rPr>
          <w:rFonts w:ascii="Cambria Math" w:hAnsi="Cambria Math" w:eastAsia="Cambria Math"/>
          <w:spacing w:val="7"/>
          <w:w w:val="105"/>
        </w:rPr>
        <w:t> </w:t>
      </w:r>
      <w:r>
        <w:rPr>
          <w:rFonts w:ascii="Cambria Math" w:hAnsi="Cambria Math" w:eastAsia="Cambria Math"/>
          <w:w w:val="105"/>
        </w:rPr>
        <w:t>=</w:t>
      </w:r>
      <w:r>
        <w:rPr>
          <w:rFonts w:ascii="Cambria Math" w:hAnsi="Cambria Math" w:eastAsia="Cambria Math"/>
          <w:spacing w:val="5"/>
          <w:w w:val="105"/>
        </w:rPr>
        <w:t> </w:t>
      </w:r>
      <w:r>
        <w:rPr>
          <w:rFonts w:ascii="Cambria Math" w:hAnsi="Cambria Math" w:eastAsia="Cambria Math"/>
          <w:w w:val="105"/>
        </w:rPr>
        <w:t>𝛼</w:t>
      </w:r>
      <w:r>
        <w:rPr>
          <w:rFonts w:ascii="Cambria Math" w:hAnsi="Cambria Math" w:eastAsia="Cambria Math"/>
          <w:spacing w:val="1"/>
          <w:w w:val="105"/>
        </w:rPr>
        <w:t> </w:t>
      </w:r>
      <w:r>
        <w:rPr>
          <w:rFonts w:ascii="Cambria Math" w:hAnsi="Cambria Math" w:eastAsia="Cambria Math"/>
          <w:w w:val="105"/>
        </w:rPr>
        <w:t>+</w:t>
      </w:r>
      <w:r>
        <w:rPr>
          <w:rFonts w:ascii="Cambria Math" w:hAnsi="Cambria Math" w:eastAsia="Cambria Math"/>
          <w:spacing w:val="-6"/>
          <w:w w:val="105"/>
        </w:rPr>
        <w:t> </w:t>
      </w:r>
      <w:r>
        <w:rPr>
          <w:b/>
          <w:spacing w:val="-4"/>
          <w:w w:val="105"/>
        </w:rPr>
        <w:t>βX</w:t>
      </w:r>
      <w:r>
        <w:rPr>
          <w:rFonts w:ascii="Cambria Math" w:hAnsi="Cambria Math" w:eastAsia="Cambria Math"/>
          <w:spacing w:val="-4"/>
          <w:w w:val="105"/>
          <w:vertAlign w:val="subscript"/>
        </w:rPr>
        <w:t>𝑖</w:t>
      </w:r>
      <w:r>
        <w:rPr>
          <w:rFonts w:ascii="Cambria Math" w:hAnsi="Cambria Math" w:eastAsia="Cambria Math"/>
          <w:spacing w:val="-4"/>
          <w:w w:val="105"/>
          <w:vertAlign w:val="baseline"/>
        </w:rPr>
        <w:t>,</w:t>
      </w:r>
    </w:p>
    <w:p>
      <w:pPr>
        <w:pStyle w:val="BodyText"/>
        <w:spacing w:before="52"/>
        <w:rPr>
          <w:rFonts w:ascii="Cambria Math"/>
        </w:rPr>
      </w:pPr>
    </w:p>
    <w:p>
      <w:pPr>
        <w:pStyle w:val="BodyText"/>
        <w:ind w:left="144"/>
      </w:pPr>
      <w:r>
        <w:rPr>
          <w:spacing w:val="-2"/>
        </w:rPr>
        <w:t>onde:</w:t>
      </w:r>
    </w:p>
    <w:p>
      <w:pPr>
        <w:pStyle w:val="BodyText"/>
        <w:spacing w:before="11"/>
      </w:pPr>
    </w:p>
    <w:p>
      <w:pPr>
        <w:pStyle w:val="BodyText"/>
        <w:ind w:left="144"/>
      </w:pPr>
      <w:r>
        <w:rPr>
          <w:rFonts w:ascii="Cambria Math" w:hAnsi="Cambria Math" w:eastAsia="Cambria Math"/>
        </w:rPr>
        <w:t>𝑌</w:t>
      </w:r>
      <w:r>
        <w:rPr>
          <w:rFonts w:ascii="Cambria Math" w:hAnsi="Cambria Math" w:eastAsia="Cambria Math"/>
          <w:vertAlign w:val="subscript"/>
        </w:rPr>
        <w:t>𝑖</w:t>
      </w:r>
      <w:r>
        <w:rPr>
          <w:rFonts w:ascii="Cambria Math" w:hAnsi="Cambria Math" w:eastAsia="Cambria Math"/>
          <w:spacing w:val="12"/>
          <w:vertAlign w:val="baseline"/>
        </w:rPr>
        <w:t> </w:t>
      </w:r>
      <w:r>
        <w:rPr>
          <w:vertAlign w:val="baseline"/>
        </w:rPr>
        <w:t>é</w:t>
      </w:r>
      <w:r>
        <w:rPr>
          <w:spacing w:val="-5"/>
          <w:vertAlign w:val="baseline"/>
        </w:rPr>
        <w:t> </w:t>
      </w:r>
      <w:r>
        <w:rPr>
          <w:vertAlign w:val="baseline"/>
        </w:rPr>
        <w:t>uma</w:t>
      </w:r>
      <w:r>
        <w:rPr>
          <w:spacing w:val="-2"/>
          <w:vertAlign w:val="baseline"/>
        </w:rPr>
        <w:t> </w:t>
      </w:r>
      <w:r>
        <w:rPr>
          <w:vertAlign w:val="baseline"/>
        </w:rPr>
        <w:t>variável</w:t>
      </w:r>
      <w:r>
        <w:rPr>
          <w:spacing w:val="-2"/>
          <w:vertAlign w:val="baseline"/>
        </w:rPr>
        <w:t> </w:t>
      </w:r>
      <w:r>
        <w:rPr>
          <w:vertAlign w:val="baseline"/>
        </w:rPr>
        <w:t>indicadora,</w:t>
      </w:r>
      <w:r>
        <w:rPr>
          <w:spacing w:val="1"/>
          <w:vertAlign w:val="baseline"/>
        </w:rPr>
        <w:t> </w:t>
      </w:r>
      <w:r>
        <w:rPr>
          <w:vertAlign w:val="baseline"/>
        </w:rPr>
        <w:t>tomando valor</w:t>
      </w:r>
      <w:r>
        <w:rPr>
          <w:spacing w:val="-5"/>
          <w:vertAlign w:val="baseline"/>
        </w:rPr>
        <w:t> </w:t>
      </w:r>
      <w:r>
        <w:rPr>
          <w:vertAlign w:val="baseline"/>
        </w:rPr>
        <w:t>1</w:t>
      </w:r>
      <w:r>
        <w:rPr>
          <w:spacing w:val="-3"/>
          <w:vertAlign w:val="baseline"/>
        </w:rPr>
        <w:t> </w:t>
      </w:r>
      <w:r>
        <w:rPr>
          <w:vertAlign w:val="baseline"/>
        </w:rPr>
        <w:t>se</w:t>
      </w:r>
      <w:r>
        <w:rPr>
          <w:spacing w:val="-6"/>
          <w:vertAlign w:val="baseline"/>
        </w:rPr>
        <w:t> </w:t>
      </w:r>
      <w:r>
        <w:rPr>
          <w:vertAlign w:val="baseline"/>
        </w:rPr>
        <w:t>o</w:t>
      </w:r>
      <w:r>
        <w:rPr>
          <w:spacing w:val="-3"/>
          <w:vertAlign w:val="baseline"/>
        </w:rPr>
        <w:t> </w:t>
      </w:r>
      <w:r>
        <w:rPr>
          <w:vertAlign w:val="baseline"/>
        </w:rPr>
        <w:t>indivíduo</w:t>
      </w:r>
      <w:r>
        <w:rPr>
          <w:spacing w:val="2"/>
          <w:vertAlign w:val="baseline"/>
        </w:rPr>
        <w:t> </w:t>
      </w:r>
      <w:r>
        <w:rPr>
          <w:i/>
          <w:vertAlign w:val="baseline"/>
        </w:rPr>
        <w:t>i</w:t>
      </w:r>
      <w:r>
        <w:rPr>
          <w:i/>
          <w:spacing w:val="-3"/>
          <w:vertAlign w:val="baseline"/>
        </w:rPr>
        <w:t> </w:t>
      </w:r>
      <w:r>
        <w:rPr>
          <w:vertAlign w:val="baseline"/>
        </w:rPr>
        <w:t>é</w:t>
      </w:r>
      <w:r>
        <w:rPr>
          <w:spacing w:val="-5"/>
          <w:vertAlign w:val="baseline"/>
        </w:rPr>
        <w:t> </w:t>
      </w:r>
      <w:r>
        <w:rPr>
          <w:vertAlign w:val="baseline"/>
        </w:rPr>
        <w:t>usuário</w:t>
      </w:r>
      <w:r>
        <w:rPr>
          <w:spacing w:val="-4"/>
          <w:vertAlign w:val="baseline"/>
        </w:rPr>
        <w:t> </w:t>
      </w:r>
      <w:r>
        <w:rPr>
          <w:vertAlign w:val="baseline"/>
        </w:rPr>
        <w:t>de</w:t>
      </w:r>
      <w:r>
        <w:rPr>
          <w:spacing w:val="-4"/>
          <w:vertAlign w:val="baseline"/>
        </w:rPr>
        <w:t> </w:t>
      </w:r>
      <w:r>
        <w:rPr>
          <w:vertAlign w:val="baseline"/>
        </w:rPr>
        <w:t>Internet,</w:t>
      </w:r>
      <w:r>
        <w:rPr>
          <w:spacing w:val="-3"/>
          <w:vertAlign w:val="baseline"/>
        </w:rPr>
        <w:t> </w:t>
      </w:r>
      <w:r>
        <w:rPr>
          <w:vertAlign w:val="baseline"/>
        </w:rPr>
        <w:t>e</w:t>
      </w:r>
      <w:r>
        <w:rPr>
          <w:spacing w:val="-1"/>
          <w:vertAlign w:val="baseline"/>
        </w:rPr>
        <w:t> </w:t>
      </w:r>
      <w:r>
        <w:rPr>
          <w:vertAlign w:val="baseline"/>
        </w:rPr>
        <w:t>valor</w:t>
      </w:r>
      <w:r>
        <w:rPr>
          <w:spacing w:val="-5"/>
          <w:vertAlign w:val="baseline"/>
        </w:rPr>
        <w:t> </w:t>
      </w:r>
      <w:r>
        <w:rPr>
          <w:vertAlign w:val="baseline"/>
        </w:rPr>
        <w:t>0,</w:t>
      </w:r>
      <w:r>
        <w:rPr>
          <w:spacing w:val="-2"/>
          <w:vertAlign w:val="baseline"/>
        </w:rPr>
        <w:t> </w:t>
      </w:r>
      <w:r>
        <w:rPr>
          <w:vertAlign w:val="baseline"/>
        </w:rPr>
        <w:t>caso</w:t>
      </w:r>
      <w:r>
        <w:rPr>
          <w:spacing w:val="-4"/>
          <w:vertAlign w:val="baseline"/>
        </w:rPr>
        <w:t> </w:t>
      </w:r>
      <w:r>
        <w:rPr>
          <w:spacing w:val="-2"/>
          <w:vertAlign w:val="baseline"/>
        </w:rPr>
        <w:t>contrário;</w:t>
      </w:r>
    </w:p>
    <w:p>
      <w:pPr>
        <w:pStyle w:val="BodyText"/>
        <w:spacing w:before="11"/>
      </w:pPr>
    </w:p>
    <w:p>
      <w:pPr>
        <w:pStyle w:val="BodyText"/>
        <w:ind w:left="144"/>
      </w:pPr>
      <w:r>
        <w:rPr>
          <w:rFonts w:ascii="Cambria Math" w:hAnsi="Cambria Math" w:eastAsia="Cambria Math"/>
        </w:rPr>
        <w:t>𝐗</w:t>
      </w:r>
      <w:r>
        <w:rPr>
          <w:rFonts w:ascii="Cambria Math" w:hAnsi="Cambria Math" w:eastAsia="Cambria Math"/>
          <w:vertAlign w:val="subscript"/>
        </w:rPr>
        <w:t>𝑖</w:t>
      </w:r>
      <w:r>
        <w:rPr>
          <w:rFonts w:ascii="Cambria Math" w:hAnsi="Cambria Math" w:eastAsia="Cambria Math"/>
          <w:spacing w:val="14"/>
          <w:vertAlign w:val="baseline"/>
        </w:rPr>
        <w:t> </w:t>
      </w:r>
      <w:r>
        <w:rPr>
          <w:vertAlign w:val="baseline"/>
        </w:rPr>
        <w:t>é</w:t>
      </w:r>
      <w:r>
        <w:rPr>
          <w:spacing w:val="-4"/>
          <w:vertAlign w:val="baseline"/>
        </w:rPr>
        <w:t> </w:t>
      </w:r>
      <w:r>
        <w:rPr>
          <w:vertAlign w:val="baseline"/>
        </w:rPr>
        <w:t>um</w:t>
      </w:r>
      <w:r>
        <w:rPr>
          <w:spacing w:val="2"/>
          <w:vertAlign w:val="baseline"/>
        </w:rPr>
        <w:t> </w:t>
      </w:r>
      <w:r>
        <w:rPr>
          <w:vertAlign w:val="baseline"/>
        </w:rPr>
        <w:t>vetor</w:t>
      </w:r>
      <w:r>
        <w:rPr>
          <w:spacing w:val="1"/>
          <w:vertAlign w:val="baseline"/>
        </w:rPr>
        <w:t> </w:t>
      </w:r>
      <w:r>
        <w:rPr>
          <w:vertAlign w:val="baseline"/>
        </w:rPr>
        <w:t>com</w:t>
      </w:r>
      <w:r>
        <w:rPr>
          <w:spacing w:val="-3"/>
          <w:vertAlign w:val="baseline"/>
        </w:rPr>
        <w:t> </w:t>
      </w:r>
      <w:r>
        <w:rPr>
          <w:vertAlign w:val="baseline"/>
        </w:rPr>
        <w:t>os</w:t>
      </w:r>
      <w:r>
        <w:rPr>
          <w:spacing w:val="-1"/>
          <w:vertAlign w:val="baseline"/>
        </w:rPr>
        <w:t> </w:t>
      </w:r>
      <w:r>
        <w:rPr>
          <w:vertAlign w:val="baseline"/>
        </w:rPr>
        <w:t>valores</w:t>
      </w:r>
      <w:r>
        <w:rPr>
          <w:spacing w:val="-1"/>
          <w:vertAlign w:val="baseline"/>
        </w:rPr>
        <w:t> </w:t>
      </w:r>
      <w:r>
        <w:rPr>
          <w:vertAlign w:val="baseline"/>
        </w:rPr>
        <w:t>de</w:t>
      </w:r>
      <w:r>
        <w:rPr>
          <w:spacing w:val="-3"/>
          <w:vertAlign w:val="baseline"/>
        </w:rPr>
        <w:t> </w:t>
      </w:r>
      <w:r>
        <w:rPr>
          <w:vertAlign w:val="baseline"/>
        </w:rPr>
        <w:t>variáveis</w:t>
      </w:r>
      <w:r>
        <w:rPr>
          <w:spacing w:val="-1"/>
          <w:vertAlign w:val="baseline"/>
        </w:rPr>
        <w:t> </w:t>
      </w:r>
      <w:r>
        <w:rPr>
          <w:vertAlign w:val="baseline"/>
        </w:rPr>
        <w:t>explicativas</w:t>
      </w:r>
      <w:r>
        <w:rPr>
          <w:spacing w:val="-2"/>
          <w:vertAlign w:val="baseline"/>
        </w:rPr>
        <w:t> </w:t>
      </w:r>
      <w:r>
        <w:rPr>
          <w:vertAlign w:val="baseline"/>
        </w:rPr>
        <w:t>(sexo,</w:t>
      </w:r>
      <w:r>
        <w:rPr>
          <w:spacing w:val="-1"/>
          <w:vertAlign w:val="baseline"/>
        </w:rPr>
        <w:t> </w:t>
      </w:r>
      <w:r>
        <w:rPr>
          <w:vertAlign w:val="baseline"/>
        </w:rPr>
        <w:t>faixa</w:t>
      </w:r>
      <w:r>
        <w:rPr>
          <w:spacing w:val="-4"/>
          <w:vertAlign w:val="baseline"/>
        </w:rPr>
        <w:t> </w:t>
      </w:r>
      <w:r>
        <w:rPr>
          <w:vertAlign w:val="baseline"/>
        </w:rPr>
        <w:t>etária,</w:t>
      </w:r>
      <w:r>
        <w:rPr>
          <w:spacing w:val="-1"/>
          <w:vertAlign w:val="baseline"/>
        </w:rPr>
        <w:t> </w:t>
      </w:r>
      <w:r>
        <w:rPr>
          <w:vertAlign w:val="baseline"/>
        </w:rPr>
        <w:t>escolaridade etc.)</w:t>
      </w:r>
      <w:r>
        <w:rPr>
          <w:spacing w:val="-2"/>
          <w:vertAlign w:val="baseline"/>
        </w:rPr>
        <w:t> </w:t>
      </w:r>
      <w:r>
        <w:rPr>
          <w:vertAlign w:val="baseline"/>
        </w:rPr>
        <w:t>do</w:t>
      </w:r>
      <w:r>
        <w:rPr>
          <w:spacing w:val="-2"/>
          <w:vertAlign w:val="baseline"/>
        </w:rPr>
        <w:t> </w:t>
      </w:r>
      <w:r>
        <w:rPr>
          <w:vertAlign w:val="baseline"/>
        </w:rPr>
        <w:t>indivíduo</w:t>
      </w:r>
      <w:r>
        <w:rPr>
          <w:spacing w:val="8"/>
          <w:vertAlign w:val="baseline"/>
        </w:rPr>
        <w:t> </w:t>
      </w:r>
      <w:r>
        <w:rPr>
          <w:rFonts w:ascii="Cambria" w:hAnsi="Cambria" w:eastAsia="Cambria"/>
          <w:i/>
          <w:spacing w:val="-5"/>
          <w:vertAlign w:val="baseline"/>
        </w:rPr>
        <w:t>i</w:t>
      </w:r>
      <w:r>
        <w:rPr>
          <w:spacing w:val="-5"/>
          <w:vertAlign w:val="baseline"/>
        </w:rPr>
        <w:t>;</w:t>
      </w:r>
    </w:p>
    <w:p>
      <w:pPr>
        <w:pStyle w:val="BodyText"/>
        <w:spacing w:before="1"/>
      </w:pPr>
    </w:p>
    <w:p>
      <w:pPr>
        <w:pStyle w:val="BodyText"/>
        <w:ind w:left="144"/>
      </w:pPr>
      <w:r>
        <w:rPr>
          <w:rFonts w:ascii="Cambria Math" w:hAnsi="Cambria Math" w:eastAsia="Cambria Math"/>
        </w:rPr>
        <w:t>𝑃</w:t>
      </w:r>
      <w:r>
        <w:rPr>
          <w:rFonts w:ascii="Cambria Math" w:hAnsi="Cambria Math" w:eastAsia="Cambria Math"/>
          <w:position w:val="1"/>
        </w:rPr>
        <w:t>(</w:t>
      </w:r>
      <w:r>
        <w:rPr>
          <w:rFonts w:ascii="Cambria Math" w:hAnsi="Cambria Math" w:eastAsia="Cambria Math"/>
        </w:rPr>
        <w:t>𝑌</w:t>
      </w:r>
      <w:r>
        <w:rPr>
          <w:rFonts w:ascii="Cambria Math" w:hAnsi="Cambria Math" w:eastAsia="Cambria Math"/>
          <w:vertAlign w:val="subscript"/>
        </w:rPr>
        <w:t>𝑖</w:t>
      </w:r>
      <w:r>
        <w:rPr>
          <w:rFonts w:ascii="Cambria Math" w:hAnsi="Cambria Math" w:eastAsia="Cambria Math"/>
          <w:spacing w:val="23"/>
          <w:vertAlign w:val="baseline"/>
        </w:rPr>
        <w:t> </w:t>
      </w:r>
      <w:r>
        <w:rPr>
          <w:rFonts w:ascii="Cambria Math" w:hAnsi="Cambria Math" w:eastAsia="Cambria Math"/>
          <w:vertAlign w:val="baseline"/>
        </w:rPr>
        <w:t>=</w:t>
      </w:r>
      <w:r>
        <w:rPr>
          <w:rFonts w:ascii="Cambria Math" w:hAnsi="Cambria Math" w:eastAsia="Cambria Math"/>
          <w:spacing w:val="12"/>
          <w:vertAlign w:val="baseline"/>
        </w:rPr>
        <w:t> </w:t>
      </w:r>
      <w:r>
        <w:rPr>
          <w:rFonts w:ascii="Cambria Math" w:hAnsi="Cambria Math" w:eastAsia="Cambria Math"/>
          <w:vertAlign w:val="baseline"/>
        </w:rPr>
        <w:t>1</w:t>
      </w:r>
      <w:r>
        <w:rPr>
          <w:rFonts w:ascii="Cambria Math" w:hAnsi="Cambria Math" w:eastAsia="Cambria Math"/>
          <w:position w:val="1"/>
          <w:vertAlign w:val="baseline"/>
        </w:rPr>
        <w:t>)</w:t>
      </w:r>
      <w:r>
        <w:rPr>
          <w:rFonts w:ascii="Cambria Math" w:hAnsi="Cambria Math" w:eastAsia="Cambria Math"/>
          <w:spacing w:val="-3"/>
          <w:position w:val="1"/>
          <w:vertAlign w:val="baseline"/>
        </w:rPr>
        <w:t> </w:t>
      </w:r>
      <w:r>
        <w:rPr>
          <w:vertAlign w:val="baseline"/>
        </w:rPr>
        <w:t>representa</w:t>
      </w:r>
      <w:r>
        <w:rPr>
          <w:spacing w:val="-2"/>
          <w:vertAlign w:val="baseline"/>
        </w:rPr>
        <w:t> </w:t>
      </w:r>
      <w:r>
        <w:rPr>
          <w:vertAlign w:val="baseline"/>
        </w:rPr>
        <w:t>a</w:t>
      </w:r>
      <w:r>
        <w:rPr>
          <w:spacing w:val="-6"/>
          <w:vertAlign w:val="baseline"/>
        </w:rPr>
        <w:t> </w:t>
      </w:r>
      <w:r>
        <w:rPr>
          <w:vertAlign w:val="baseline"/>
        </w:rPr>
        <w:t>probabilidade</w:t>
      </w:r>
      <w:r>
        <w:rPr>
          <w:spacing w:val="-6"/>
          <w:vertAlign w:val="baseline"/>
        </w:rPr>
        <w:t> </w:t>
      </w:r>
      <w:r>
        <w:rPr>
          <w:vertAlign w:val="baseline"/>
        </w:rPr>
        <w:t>do indivíduo</w:t>
      </w:r>
      <w:r>
        <w:rPr>
          <w:spacing w:val="-5"/>
          <w:vertAlign w:val="baseline"/>
        </w:rPr>
        <w:t> </w:t>
      </w:r>
      <w:r>
        <w:rPr>
          <w:vertAlign w:val="baseline"/>
        </w:rPr>
        <w:t>ser</w:t>
      </w:r>
      <w:r>
        <w:rPr>
          <w:spacing w:val="-5"/>
          <w:vertAlign w:val="baseline"/>
        </w:rPr>
        <w:t> </w:t>
      </w:r>
      <w:r>
        <w:rPr>
          <w:vertAlign w:val="baseline"/>
        </w:rPr>
        <w:t>usuário</w:t>
      </w:r>
      <w:r>
        <w:rPr>
          <w:spacing w:val="-4"/>
          <w:vertAlign w:val="baseline"/>
        </w:rPr>
        <w:t> </w:t>
      </w:r>
      <w:r>
        <w:rPr>
          <w:vertAlign w:val="baseline"/>
        </w:rPr>
        <w:t>de</w:t>
      </w:r>
      <w:r>
        <w:rPr>
          <w:spacing w:val="-6"/>
          <w:vertAlign w:val="baseline"/>
        </w:rPr>
        <w:t> </w:t>
      </w:r>
      <w:r>
        <w:rPr>
          <w:vertAlign w:val="baseline"/>
        </w:rPr>
        <w:t>Internet;</w:t>
      </w:r>
      <w:r>
        <w:rPr>
          <w:spacing w:val="-3"/>
          <w:vertAlign w:val="baseline"/>
        </w:rPr>
        <w:t> </w:t>
      </w:r>
      <w:r>
        <w:rPr>
          <w:spacing w:val="-10"/>
          <w:vertAlign w:val="baseline"/>
        </w:rPr>
        <w:t>e</w:t>
      </w:r>
    </w:p>
    <w:p>
      <w:pPr>
        <w:pStyle w:val="BodyText"/>
        <w:spacing w:before="15"/>
      </w:pPr>
    </w:p>
    <w:p>
      <w:pPr>
        <w:pStyle w:val="BodyText"/>
        <w:spacing w:line="482" w:lineRule="auto"/>
        <w:ind w:left="144" w:right="5317"/>
      </w:pPr>
      <w:r>
        <w:rPr>
          <w:rFonts w:ascii="Cambria Math" w:hAnsi="Cambria Math" w:eastAsia="Cambria Math"/>
        </w:rPr>
        <w:t>𝛼</w:t>
      </w:r>
      <w:r>
        <w:rPr>
          <w:rFonts w:ascii="Cambria Math" w:hAnsi="Cambria Math" w:eastAsia="Cambria Math"/>
          <w:spacing w:val="24"/>
        </w:rPr>
        <w:t> </w:t>
      </w:r>
      <w:r>
        <w:rPr/>
        <w:t>e </w:t>
      </w:r>
      <w:r>
        <w:rPr>
          <w:rFonts w:ascii="Cambria Math" w:hAnsi="Cambria Math" w:eastAsia="Cambria Math"/>
        </w:rPr>
        <w:t>𝛃 </w:t>
      </w:r>
      <w:r>
        <w:rPr/>
        <w:t>são parâmetros do modelo, a serem estimados.</w:t>
      </w:r>
      <w:r>
        <w:rPr>
          <w:spacing w:val="40"/>
        </w:rPr>
        <w:t> </w:t>
      </w:r>
      <w:r>
        <w:rPr/>
        <w:t>As</w:t>
      </w:r>
      <w:r>
        <w:rPr>
          <w:spacing w:val="-6"/>
        </w:rPr>
        <w:t> </w:t>
      </w:r>
      <w:r>
        <w:rPr/>
        <w:t>estimativas</w:t>
      </w:r>
      <w:r>
        <w:rPr>
          <w:spacing w:val="-7"/>
        </w:rPr>
        <w:t> </w:t>
      </w:r>
      <w:r>
        <w:rPr/>
        <w:t>para</w:t>
      </w:r>
      <w:r>
        <w:rPr>
          <w:spacing w:val="-6"/>
        </w:rPr>
        <w:t> </w:t>
      </w:r>
      <w:r>
        <w:rPr>
          <w:rFonts w:ascii="Cambria Math" w:hAnsi="Cambria Math" w:eastAsia="Cambria Math"/>
        </w:rPr>
        <w:t>𝑃</w:t>
      </w:r>
      <w:r>
        <w:rPr>
          <w:rFonts w:ascii="Cambria Math" w:hAnsi="Cambria Math" w:eastAsia="Cambria Math"/>
          <w:position w:val="1"/>
        </w:rPr>
        <w:t>(</w:t>
      </w:r>
      <w:r>
        <w:rPr>
          <w:rFonts w:ascii="Cambria Math" w:hAnsi="Cambria Math" w:eastAsia="Cambria Math"/>
        </w:rPr>
        <w:t>𝑌</w:t>
      </w:r>
      <w:r>
        <w:rPr>
          <w:rFonts w:ascii="Cambria Math" w:hAnsi="Cambria Math" w:eastAsia="Cambria Math"/>
          <w:vertAlign w:val="subscript"/>
        </w:rPr>
        <w:t>𝑖</w:t>
      </w:r>
      <w:r>
        <w:rPr>
          <w:rFonts w:ascii="Cambria Math" w:hAnsi="Cambria Math" w:eastAsia="Cambria Math"/>
          <w:spacing w:val="18"/>
          <w:vertAlign w:val="baseline"/>
        </w:rPr>
        <w:t> </w:t>
      </w:r>
      <w:r>
        <w:rPr>
          <w:rFonts w:ascii="Cambria Math" w:hAnsi="Cambria Math" w:eastAsia="Cambria Math"/>
          <w:vertAlign w:val="baseline"/>
        </w:rPr>
        <w:t>= 1</w:t>
      </w:r>
      <w:r>
        <w:rPr>
          <w:rFonts w:ascii="Cambria Math" w:hAnsi="Cambria Math" w:eastAsia="Cambria Math"/>
          <w:position w:val="1"/>
          <w:vertAlign w:val="baseline"/>
        </w:rPr>
        <w:t>)</w:t>
      </w:r>
      <w:r>
        <w:rPr>
          <w:rFonts w:ascii="Cambria Math" w:hAnsi="Cambria Math" w:eastAsia="Cambria Math"/>
          <w:spacing w:val="-6"/>
          <w:position w:val="1"/>
          <w:vertAlign w:val="baseline"/>
        </w:rPr>
        <w:t> </w:t>
      </w:r>
      <w:r>
        <w:rPr>
          <w:vertAlign w:val="baseline"/>
        </w:rPr>
        <w:t>fornecidas</w:t>
      </w:r>
      <w:r>
        <w:rPr>
          <w:spacing w:val="-7"/>
          <w:vertAlign w:val="baseline"/>
        </w:rPr>
        <w:t> </w:t>
      </w:r>
      <w:r>
        <w:rPr>
          <w:vertAlign w:val="baseline"/>
        </w:rPr>
        <w:t>pela</w:t>
      </w:r>
      <w:r>
        <w:rPr>
          <w:spacing w:val="-6"/>
          <w:vertAlign w:val="baseline"/>
        </w:rPr>
        <w:t> </w:t>
      </w:r>
      <w:r>
        <w:rPr>
          <w:vertAlign w:val="baseline"/>
        </w:rPr>
        <w:t>expressão</w:t>
      </w:r>
    </w:p>
    <w:p>
      <w:pPr>
        <w:pStyle w:val="BodyText"/>
        <w:tabs>
          <w:tab w:pos="1424" w:val="left" w:leader="none"/>
        </w:tabs>
        <w:spacing w:line="98" w:lineRule="auto" w:before="130"/>
        <w:ind w:right="178"/>
        <w:jc w:val="center"/>
        <w:rPr>
          <w:rFonts w:ascii="Cambria Math" w:hAnsi="Cambria Math" w:eastAsia="Cambria Math"/>
        </w:rPr>
      </w:pPr>
      <w:r>
        <w:rPr>
          <w:rFonts w:ascii="Cambria Math" w:hAnsi="Cambria Math" w:eastAsia="Cambria Math"/>
          <w:position w:val="-16"/>
        </w:rPr>
        <w:t>𝑃̂</w:t>
      </w:r>
      <w:r>
        <w:rPr>
          <w:rFonts w:ascii="Cambria Math" w:hAnsi="Cambria Math" w:eastAsia="Cambria Math"/>
          <w:position w:val="-15"/>
        </w:rPr>
        <w:t>(</w:t>
      </w:r>
      <w:r>
        <w:rPr>
          <w:rFonts w:ascii="Cambria Math" w:hAnsi="Cambria Math" w:eastAsia="Cambria Math"/>
          <w:position w:val="-16"/>
        </w:rPr>
        <w:t>𝑌</w:t>
      </w:r>
      <w:r>
        <w:rPr>
          <w:rFonts w:ascii="Cambria Math" w:hAnsi="Cambria Math" w:eastAsia="Cambria Math"/>
          <w:spacing w:val="45"/>
          <w:position w:val="-16"/>
        </w:rPr>
        <w:t> </w:t>
      </w:r>
      <w:r>
        <w:rPr>
          <w:rFonts w:ascii="Cambria Math" w:hAnsi="Cambria Math" w:eastAsia="Cambria Math"/>
          <w:position w:val="-16"/>
        </w:rPr>
        <w:t>=</w:t>
      </w:r>
      <w:r>
        <w:rPr>
          <w:rFonts w:ascii="Cambria Math" w:hAnsi="Cambria Math" w:eastAsia="Cambria Math"/>
          <w:spacing w:val="12"/>
          <w:position w:val="-16"/>
        </w:rPr>
        <w:t> </w:t>
      </w:r>
      <w:r>
        <w:rPr>
          <w:rFonts w:ascii="Cambria Math" w:hAnsi="Cambria Math" w:eastAsia="Cambria Math"/>
          <w:position w:val="-16"/>
        </w:rPr>
        <w:t>1</w:t>
      </w:r>
      <w:r>
        <w:rPr>
          <w:rFonts w:ascii="Cambria Math" w:hAnsi="Cambria Math" w:eastAsia="Cambria Math"/>
          <w:position w:val="-15"/>
        </w:rPr>
        <w:t>)</w:t>
      </w:r>
      <w:r>
        <w:rPr>
          <w:rFonts w:ascii="Cambria Math" w:hAnsi="Cambria Math" w:eastAsia="Cambria Math"/>
          <w:spacing w:val="18"/>
          <w:position w:val="-15"/>
        </w:rPr>
        <w:t> </w:t>
      </w:r>
      <w:r>
        <w:rPr>
          <w:rFonts w:ascii="Cambria Math" w:hAnsi="Cambria Math" w:eastAsia="Cambria Math"/>
          <w:spacing w:val="-10"/>
          <w:position w:val="-16"/>
        </w:rPr>
        <w:t>=</w:t>
      </w:r>
      <w:r>
        <w:rPr>
          <w:rFonts w:ascii="Cambria Math" w:hAnsi="Cambria Math" w:eastAsia="Cambria Math"/>
          <w:position w:val="-16"/>
        </w:rPr>
        <w:tab/>
      </w:r>
      <w:r>
        <w:rPr>
          <w:rFonts w:ascii="Cambria Math" w:hAnsi="Cambria Math" w:eastAsia="Cambria Math"/>
        </w:rPr>
        <w:t>𝑒𝑥𝑝(𝛼̂</w:t>
      </w:r>
      <w:r>
        <w:rPr>
          <w:rFonts w:ascii="Cambria Math" w:hAnsi="Cambria Math" w:eastAsia="Cambria Math"/>
          <w:spacing w:val="14"/>
        </w:rPr>
        <w:t> </w:t>
      </w:r>
      <w:r>
        <w:rPr>
          <w:rFonts w:ascii="Cambria Math" w:hAnsi="Cambria Math" w:eastAsia="Cambria Math"/>
        </w:rPr>
        <w:t>+</w:t>
      </w:r>
      <w:r>
        <w:rPr>
          <w:rFonts w:ascii="Cambria Math" w:hAnsi="Cambria Math" w:eastAsia="Cambria Math"/>
          <w:spacing w:val="6"/>
        </w:rPr>
        <w:t> </w:t>
      </w:r>
      <w:r>
        <w:rPr>
          <w:rFonts w:ascii="Cambria Math" w:hAnsi="Cambria Math" w:eastAsia="Cambria Math"/>
        </w:rPr>
        <w:t>𝛃̂X</w:t>
      </w:r>
      <w:r>
        <w:rPr>
          <w:rFonts w:ascii="Cambria Math" w:hAnsi="Cambria Math" w:eastAsia="Cambria Math"/>
          <w:position w:val="-5"/>
          <w:sz w:val="16"/>
        </w:rPr>
        <w:t>𝑖</w:t>
      </w:r>
      <w:r>
        <w:rPr>
          <w:rFonts w:ascii="Cambria Math" w:hAnsi="Cambria Math" w:eastAsia="Cambria Math"/>
          <w:spacing w:val="78"/>
          <w:position w:val="-5"/>
          <w:sz w:val="16"/>
        </w:rPr>
        <w:t> </w:t>
      </w:r>
      <w:r>
        <w:rPr>
          <w:rFonts w:ascii="Cambria Math" w:hAnsi="Cambria Math" w:eastAsia="Cambria Math"/>
          <w:spacing w:val="-10"/>
        </w:rPr>
        <w:t>)</w:t>
      </w:r>
    </w:p>
    <w:p>
      <w:pPr>
        <w:spacing w:line="106" w:lineRule="exact" w:before="0"/>
        <w:ind w:left="1243" w:right="3513" w:firstLine="0"/>
        <w:jc w:val="center"/>
        <w:rPr>
          <w:rFonts w:ascii="Cambria Math" w:eastAsia="Cambria Math"/>
          <w:sz w:val="16"/>
        </w:rPr>
      </w:pPr>
      <w:r>
        <w:rPr>
          <w:rFonts w:ascii="Cambria Math" w:eastAsia="Cambria Math"/>
          <w:sz w:val="16"/>
        </w:rPr>
        <mc:AlternateContent>
          <mc:Choice Requires="wps">
            <w:drawing>
              <wp:anchor distT="0" distB="0" distL="0" distR="0" allowOverlap="1" layoutInCell="1" locked="0" behindDoc="0" simplePos="0" relativeHeight="15731200">
                <wp:simplePos x="0" y="0"/>
                <wp:positionH relativeFrom="page">
                  <wp:posOffset>3615690</wp:posOffset>
                </wp:positionH>
                <wp:positionV relativeFrom="paragraph">
                  <wp:posOffset>5721</wp:posOffset>
                </wp:positionV>
                <wp:extent cx="1118235" cy="1016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118235" cy="10160"/>
                        </a:xfrm>
                        <a:custGeom>
                          <a:avLst/>
                          <a:gdLst/>
                          <a:ahLst/>
                          <a:cxnLst/>
                          <a:rect l="l" t="t" r="r" b="b"/>
                          <a:pathLst>
                            <a:path w="1118235" h="10160">
                              <a:moveTo>
                                <a:pt x="1117917" y="0"/>
                              </a:moveTo>
                              <a:lnTo>
                                <a:pt x="0" y="0"/>
                              </a:lnTo>
                              <a:lnTo>
                                <a:pt x="0" y="10160"/>
                              </a:lnTo>
                              <a:lnTo>
                                <a:pt x="1117917" y="10160"/>
                              </a:lnTo>
                              <a:lnTo>
                                <a:pt x="11179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4.700012pt;margin-top:.450506pt;width:88.025pt;height:.80002pt;mso-position-horizontal-relative:page;mso-position-vertical-relative:paragraph;z-index:15731200" id="docshape24" filled="true" fillcolor="#000000" stroked="false">
                <v:fill type="solid"/>
                <w10:wrap type="none"/>
              </v:rect>
            </w:pict>
          </mc:Fallback>
        </mc:AlternateContent>
      </w:r>
      <w:r>
        <w:rPr>
          <w:rFonts w:ascii="Cambria Math" w:eastAsia="Cambria Math"/>
          <w:spacing w:val="-10"/>
          <w:w w:val="110"/>
          <w:sz w:val="16"/>
        </w:rPr>
        <w:t>𝑖</w:t>
      </w:r>
    </w:p>
    <w:p>
      <w:pPr>
        <w:pStyle w:val="BodyText"/>
        <w:spacing w:line="177" w:lineRule="auto"/>
        <w:ind w:left="3513" w:right="2270"/>
        <w:jc w:val="center"/>
        <w:rPr>
          <w:rFonts w:ascii="Cambria Math" w:hAnsi="Cambria Math" w:eastAsia="Cambria Math"/>
        </w:rPr>
      </w:pPr>
      <w:r>
        <w:rPr>
          <w:rFonts w:ascii="Cambria Math" w:hAnsi="Cambria Math" w:eastAsia="Cambria Math"/>
        </w:rPr>
        <w:t>1</w:t>
      </w:r>
      <w:r>
        <w:rPr>
          <w:rFonts w:ascii="Cambria Math" w:hAnsi="Cambria Math" w:eastAsia="Cambria Math"/>
          <w:spacing w:val="5"/>
        </w:rPr>
        <w:t> </w:t>
      </w:r>
      <w:r>
        <w:rPr>
          <w:rFonts w:ascii="Cambria Math" w:hAnsi="Cambria Math" w:eastAsia="Cambria Math"/>
        </w:rPr>
        <w:t>+</w:t>
      </w:r>
      <w:r>
        <w:rPr>
          <w:rFonts w:ascii="Cambria Math" w:hAnsi="Cambria Math" w:eastAsia="Cambria Math"/>
          <w:spacing w:val="4"/>
        </w:rPr>
        <w:t> </w:t>
      </w:r>
      <w:r>
        <w:rPr>
          <w:rFonts w:ascii="Cambria Math" w:hAnsi="Cambria Math" w:eastAsia="Cambria Math"/>
        </w:rPr>
        <w:t>𝑒𝑥𝑝(𝛼̂</w:t>
      </w:r>
      <w:r>
        <w:rPr>
          <w:rFonts w:ascii="Cambria Math" w:hAnsi="Cambria Math" w:eastAsia="Cambria Math"/>
          <w:spacing w:val="12"/>
        </w:rPr>
        <w:t> </w:t>
      </w:r>
      <w:r>
        <w:rPr>
          <w:rFonts w:ascii="Cambria Math" w:hAnsi="Cambria Math" w:eastAsia="Cambria Math"/>
        </w:rPr>
        <w:t>+</w:t>
      </w:r>
      <w:r>
        <w:rPr>
          <w:rFonts w:ascii="Cambria Math" w:hAnsi="Cambria Math" w:eastAsia="Cambria Math"/>
          <w:spacing w:val="3"/>
        </w:rPr>
        <w:t> </w:t>
      </w:r>
      <w:r>
        <w:rPr>
          <w:rFonts w:ascii="Cambria Math" w:hAnsi="Cambria Math" w:eastAsia="Cambria Math"/>
        </w:rPr>
        <w:t>𝛃̂X</w:t>
      </w:r>
      <w:r>
        <w:rPr>
          <w:rFonts w:ascii="Cambria Math" w:hAnsi="Cambria Math" w:eastAsia="Cambria Math"/>
          <w:position w:val="-5"/>
          <w:sz w:val="16"/>
        </w:rPr>
        <w:t>𝑖</w:t>
      </w:r>
      <w:r>
        <w:rPr>
          <w:rFonts w:ascii="Cambria Math" w:hAnsi="Cambria Math" w:eastAsia="Cambria Math"/>
          <w:spacing w:val="74"/>
          <w:position w:val="-5"/>
          <w:sz w:val="16"/>
        </w:rPr>
        <w:t> </w:t>
      </w:r>
      <w:r>
        <w:rPr>
          <w:rFonts w:ascii="Cambria Math" w:hAnsi="Cambria Math" w:eastAsia="Cambria Math"/>
          <w:spacing w:val="-10"/>
        </w:rPr>
        <w:t>)</w:t>
      </w:r>
    </w:p>
    <w:p>
      <w:pPr>
        <w:pStyle w:val="BodyText"/>
        <w:spacing w:before="29"/>
        <w:rPr>
          <w:rFonts w:ascii="Cambria Math"/>
        </w:rPr>
      </w:pPr>
    </w:p>
    <w:p>
      <w:pPr>
        <w:pStyle w:val="BodyText"/>
        <w:spacing w:line="276" w:lineRule="auto" w:before="1"/>
        <w:ind w:left="144" w:right="135"/>
        <w:jc w:val="both"/>
      </w:pPr>
      <w:r>
        <w:rPr/>
        <w:t>são os chamados escores de propensão considerados na metodologia, sendo que </w:t>
      </w:r>
      <w:r>
        <w:rPr>
          <w:rFonts w:ascii="Cambria Math" w:hAnsi="Cambria Math" w:eastAsia="Cambria Math"/>
        </w:rPr>
        <w:t>𝛼̂ </w:t>
      </w:r>
      <w:r>
        <w:rPr/>
        <w:t>e </w:t>
      </w:r>
      <w:r>
        <w:rPr>
          <w:rFonts w:ascii="Cambria Math" w:hAnsi="Cambria Math" w:eastAsia="Cambria Math"/>
        </w:rPr>
        <w:t>𝛃̂ </w:t>
      </w:r>
      <w:r>
        <w:rPr/>
        <w:t>são as estimativas dos parâmetros obtidas com base no modelo ajustado.</w:t>
      </w:r>
    </w:p>
    <w:p>
      <w:pPr>
        <w:pStyle w:val="BodyText"/>
        <w:spacing w:line="276" w:lineRule="auto" w:before="238"/>
        <w:ind w:left="144" w:right="131"/>
        <w:jc w:val="both"/>
      </w:pPr>
      <w:r>
        <w:rPr/>
        <w:t>O modelo ajustado utilizou como opções de variáveis independentes (</w:t>
      </w:r>
      <w:r>
        <w:rPr>
          <w:rFonts w:ascii="Cambria Math" w:hAnsi="Cambria Math"/>
        </w:rPr>
        <w:t>X</w:t>
      </w:r>
      <w:r>
        <w:rPr/>
        <w:t>) apenas informações que estivessem presentes em ambas as fontes: TIC Domicílios e Painel TIC COVID-19. O modelo final mais parcimonioso e com grande</w:t>
      </w:r>
      <w:r>
        <w:rPr>
          <w:spacing w:val="-13"/>
        </w:rPr>
        <w:t> </w:t>
      </w:r>
      <w:r>
        <w:rPr/>
        <w:t>grau</w:t>
      </w:r>
      <w:r>
        <w:rPr>
          <w:spacing w:val="-12"/>
        </w:rPr>
        <w:t> </w:t>
      </w:r>
      <w:r>
        <w:rPr/>
        <w:t>de</w:t>
      </w:r>
      <w:r>
        <w:rPr>
          <w:spacing w:val="-13"/>
        </w:rPr>
        <w:t> </w:t>
      </w:r>
      <w:r>
        <w:rPr/>
        <w:t>acerto</w:t>
      </w:r>
      <w:r>
        <w:rPr>
          <w:spacing w:val="-12"/>
        </w:rPr>
        <w:t> </w:t>
      </w:r>
      <w:r>
        <w:rPr/>
        <w:t>na</w:t>
      </w:r>
      <w:r>
        <w:rPr>
          <w:spacing w:val="-13"/>
        </w:rPr>
        <w:t> </w:t>
      </w:r>
      <w:r>
        <w:rPr/>
        <w:t>previsão</w:t>
      </w:r>
      <w:r>
        <w:rPr>
          <w:spacing w:val="-12"/>
        </w:rPr>
        <w:t> </w:t>
      </w:r>
      <w:r>
        <w:rPr/>
        <w:t>de</w:t>
      </w:r>
      <w:r>
        <w:rPr>
          <w:spacing w:val="-13"/>
        </w:rPr>
        <w:t> </w:t>
      </w:r>
      <w:r>
        <w:rPr/>
        <w:t>quais</w:t>
      </w:r>
      <w:r>
        <w:rPr>
          <w:spacing w:val="-12"/>
        </w:rPr>
        <w:t> </w:t>
      </w:r>
      <w:r>
        <w:rPr/>
        <w:t>indivíduos</w:t>
      </w:r>
      <w:r>
        <w:rPr>
          <w:spacing w:val="-7"/>
        </w:rPr>
        <w:t> </w:t>
      </w:r>
      <w:r>
        <w:rPr/>
        <w:t>eram</w:t>
      </w:r>
      <w:r>
        <w:rPr>
          <w:spacing w:val="-12"/>
        </w:rPr>
        <w:t> </w:t>
      </w:r>
      <w:r>
        <w:rPr/>
        <w:t>usuários</w:t>
      </w:r>
      <w:r>
        <w:rPr>
          <w:spacing w:val="-10"/>
        </w:rPr>
        <w:t> </w:t>
      </w:r>
      <w:r>
        <w:rPr/>
        <w:t>da</w:t>
      </w:r>
      <w:r>
        <w:rPr>
          <w:spacing w:val="-13"/>
        </w:rPr>
        <w:t> </w:t>
      </w:r>
      <w:r>
        <w:rPr/>
        <w:t>Internet</w:t>
      </w:r>
      <w:r>
        <w:rPr>
          <w:spacing w:val="-12"/>
        </w:rPr>
        <w:t> </w:t>
      </w:r>
      <w:r>
        <w:rPr/>
        <w:t>incluiu</w:t>
      </w:r>
      <w:r>
        <w:rPr>
          <w:spacing w:val="-12"/>
        </w:rPr>
        <w:t> </w:t>
      </w:r>
      <w:r>
        <w:rPr/>
        <w:t>as</w:t>
      </w:r>
      <w:r>
        <w:rPr>
          <w:spacing w:val="-10"/>
        </w:rPr>
        <w:t> </w:t>
      </w:r>
      <w:r>
        <w:rPr/>
        <w:t>seguintes</w:t>
      </w:r>
      <w:r>
        <w:rPr>
          <w:spacing w:val="-10"/>
        </w:rPr>
        <w:t> </w:t>
      </w:r>
      <w:r>
        <w:rPr/>
        <w:t>variáveis:</w:t>
      </w:r>
      <w:r>
        <w:rPr>
          <w:spacing w:val="-8"/>
        </w:rPr>
        <w:t> </w:t>
      </w:r>
      <w:r>
        <w:rPr/>
        <w:t>sexo, faixa</w:t>
      </w:r>
      <w:r>
        <w:rPr>
          <w:spacing w:val="-8"/>
        </w:rPr>
        <w:t> </w:t>
      </w:r>
      <w:r>
        <w:rPr/>
        <w:t>etária,</w:t>
      </w:r>
      <w:r>
        <w:rPr>
          <w:spacing w:val="-5"/>
        </w:rPr>
        <w:t> </w:t>
      </w:r>
      <w:r>
        <w:rPr/>
        <w:t>grau</w:t>
      </w:r>
      <w:r>
        <w:rPr>
          <w:spacing w:val="-2"/>
        </w:rPr>
        <w:t> </w:t>
      </w:r>
      <w:r>
        <w:rPr/>
        <w:t>de</w:t>
      </w:r>
      <w:r>
        <w:rPr>
          <w:spacing w:val="-3"/>
        </w:rPr>
        <w:t> </w:t>
      </w:r>
      <w:r>
        <w:rPr/>
        <w:t>instrução,</w:t>
      </w:r>
      <w:r>
        <w:rPr>
          <w:spacing w:val="-5"/>
        </w:rPr>
        <w:t> </w:t>
      </w:r>
      <w:r>
        <w:rPr/>
        <w:t>classe</w:t>
      </w:r>
      <w:r>
        <w:rPr>
          <w:spacing w:val="-4"/>
        </w:rPr>
        <w:t> </w:t>
      </w:r>
      <w:r>
        <w:rPr/>
        <w:t>social</w:t>
      </w:r>
      <w:r>
        <w:rPr>
          <w:spacing w:val="-1"/>
        </w:rPr>
        <w:t> </w:t>
      </w:r>
      <w:r>
        <w:rPr/>
        <w:t>e</w:t>
      </w:r>
      <w:r>
        <w:rPr>
          <w:spacing w:val="-3"/>
        </w:rPr>
        <w:t> </w:t>
      </w:r>
      <w:r>
        <w:rPr/>
        <w:t>indicador</w:t>
      </w:r>
      <w:r>
        <w:rPr>
          <w:spacing w:val="-6"/>
        </w:rPr>
        <w:t> </w:t>
      </w:r>
      <w:r>
        <w:rPr/>
        <w:t>de</w:t>
      </w:r>
      <w:r>
        <w:rPr>
          <w:spacing w:val="-3"/>
        </w:rPr>
        <w:t> </w:t>
      </w:r>
      <w:r>
        <w:rPr/>
        <w:t>uso</w:t>
      </w:r>
      <w:r>
        <w:rPr>
          <w:spacing w:val="-6"/>
        </w:rPr>
        <w:t> </w:t>
      </w:r>
      <w:r>
        <w:rPr/>
        <w:t>de</w:t>
      </w:r>
      <w:r>
        <w:rPr>
          <w:spacing w:val="-3"/>
        </w:rPr>
        <w:t> </w:t>
      </w:r>
      <w:r>
        <w:rPr/>
        <w:t>computador</w:t>
      </w:r>
      <w:r>
        <w:rPr>
          <w:vertAlign w:val="superscript"/>
        </w:rPr>
        <w:t>4</w:t>
      </w:r>
      <w:r>
        <w:rPr>
          <w:vertAlign w:val="baseline"/>
        </w:rPr>
        <w:t>.</w:t>
      </w:r>
      <w:r>
        <w:rPr>
          <w:spacing w:val="-6"/>
          <w:vertAlign w:val="baseline"/>
        </w:rPr>
        <w:t> </w:t>
      </w:r>
      <w:r>
        <w:rPr>
          <w:vertAlign w:val="baseline"/>
        </w:rPr>
        <w:t>A</w:t>
      </w:r>
      <w:r>
        <w:rPr>
          <w:spacing w:val="-5"/>
          <w:vertAlign w:val="baseline"/>
        </w:rPr>
        <w:t> </w:t>
      </w:r>
      <w:r>
        <w:rPr>
          <w:vertAlign w:val="baseline"/>
        </w:rPr>
        <w:t>Tabela</w:t>
      </w:r>
      <w:r>
        <w:rPr>
          <w:spacing w:val="-8"/>
          <w:vertAlign w:val="baseline"/>
        </w:rPr>
        <w:t> </w:t>
      </w:r>
      <w:r>
        <w:rPr>
          <w:vertAlign w:val="baseline"/>
        </w:rPr>
        <w:t>1</w:t>
      </w:r>
      <w:r>
        <w:rPr>
          <w:spacing w:val="-2"/>
          <w:vertAlign w:val="baseline"/>
        </w:rPr>
        <w:t> </w:t>
      </w:r>
      <w:r>
        <w:rPr>
          <w:vertAlign w:val="baseline"/>
        </w:rPr>
        <w:t>apresenta</w:t>
      </w:r>
      <w:r>
        <w:rPr>
          <w:spacing w:val="-4"/>
          <w:vertAlign w:val="baseline"/>
        </w:rPr>
        <w:t> </w:t>
      </w:r>
      <w:r>
        <w:rPr>
          <w:vertAlign w:val="baseline"/>
        </w:rPr>
        <w:t>os</w:t>
      </w:r>
      <w:r>
        <w:rPr>
          <w:spacing w:val="-4"/>
          <w:vertAlign w:val="baseline"/>
        </w:rPr>
        <w:t> </w:t>
      </w:r>
      <w:r>
        <w:rPr>
          <w:vertAlign w:val="baseline"/>
        </w:rPr>
        <w:t>resultados de ajuste.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89376">
                <wp:simplePos x="0" y="0"/>
                <wp:positionH relativeFrom="page">
                  <wp:posOffset>541337</wp:posOffset>
                </wp:positionH>
                <wp:positionV relativeFrom="paragraph">
                  <wp:posOffset>265079</wp:posOffset>
                </wp:positionV>
                <wp:extent cx="1829435" cy="1016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20.8724pt;width:144.03pt;height:.79999pt;mso-position-horizontal-relative:page;mso-position-vertical-relative:paragraph;z-index:-15727104;mso-wrap-distance-left:0;mso-wrap-distance-right:0" id="docshape25" filled="true" fillcolor="#000000" stroked="false">
                <v:fill type="solid"/>
                <w10:wrap type="topAndBottom"/>
              </v:rect>
            </w:pict>
          </mc:Fallback>
        </mc:AlternateContent>
      </w:r>
    </w:p>
    <w:p>
      <w:pPr>
        <w:spacing w:before="101"/>
        <w:ind w:left="144" w:right="131" w:firstLine="0"/>
        <w:jc w:val="left"/>
        <w:rPr>
          <w:sz w:val="20"/>
        </w:rPr>
      </w:pPr>
      <w:r>
        <w:rPr>
          <w:sz w:val="20"/>
          <w:vertAlign w:val="superscript"/>
        </w:rPr>
        <w:t>4</w:t>
      </w:r>
      <w:r>
        <w:rPr>
          <w:spacing w:val="-3"/>
          <w:sz w:val="20"/>
          <w:vertAlign w:val="baseline"/>
        </w:rPr>
        <w:t> </w:t>
      </w:r>
      <w:r>
        <w:rPr>
          <w:sz w:val="20"/>
          <w:vertAlign w:val="baseline"/>
        </w:rPr>
        <w:t>Modelos</w:t>
      </w:r>
      <w:r>
        <w:rPr>
          <w:spacing w:val="-2"/>
          <w:sz w:val="20"/>
          <w:vertAlign w:val="baseline"/>
        </w:rPr>
        <w:t> </w:t>
      </w:r>
      <w:r>
        <w:rPr>
          <w:sz w:val="20"/>
          <w:vertAlign w:val="baseline"/>
        </w:rPr>
        <w:t>livres</w:t>
      </w:r>
      <w:r>
        <w:rPr>
          <w:spacing w:val="-2"/>
          <w:sz w:val="20"/>
          <w:vertAlign w:val="baseline"/>
        </w:rPr>
        <w:t> </w:t>
      </w:r>
      <w:r>
        <w:rPr>
          <w:sz w:val="20"/>
          <w:vertAlign w:val="baseline"/>
        </w:rPr>
        <w:t>da</w:t>
      </w:r>
      <w:r>
        <w:rPr>
          <w:spacing w:val="-4"/>
          <w:sz w:val="20"/>
          <w:vertAlign w:val="baseline"/>
        </w:rPr>
        <w:t> </w:t>
      </w:r>
      <w:r>
        <w:rPr>
          <w:sz w:val="20"/>
          <w:vertAlign w:val="baseline"/>
        </w:rPr>
        <w:t>restrição</w:t>
      </w:r>
      <w:r>
        <w:rPr>
          <w:spacing w:val="-5"/>
          <w:sz w:val="20"/>
          <w:vertAlign w:val="baseline"/>
        </w:rPr>
        <w:t> </w:t>
      </w:r>
      <w:r>
        <w:rPr>
          <w:sz w:val="20"/>
          <w:vertAlign w:val="baseline"/>
        </w:rPr>
        <w:t>de</w:t>
      </w:r>
      <w:r>
        <w:rPr>
          <w:spacing w:val="-3"/>
          <w:sz w:val="20"/>
          <w:vertAlign w:val="baseline"/>
        </w:rPr>
        <w:t> </w:t>
      </w:r>
      <w:r>
        <w:rPr>
          <w:sz w:val="20"/>
          <w:vertAlign w:val="baseline"/>
        </w:rPr>
        <w:t>variáveis</w:t>
      </w:r>
      <w:r>
        <w:rPr>
          <w:spacing w:val="-2"/>
          <w:sz w:val="20"/>
          <w:vertAlign w:val="baseline"/>
        </w:rPr>
        <w:t> </w:t>
      </w:r>
      <w:r>
        <w:rPr>
          <w:sz w:val="20"/>
          <w:vertAlign w:val="baseline"/>
        </w:rPr>
        <w:t>comuns</w:t>
      </w:r>
      <w:r>
        <w:rPr>
          <w:spacing w:val="-2"/>
          <w:sz w:val="20"/>
          <w:vertAlign w:val="baseline"/>
        </w:rPr>
        <w:t> </w:t>
      </w:r>
      <w:r>
        <w:rPr>
          <w:sz w:val="20"/>
          <w:vertAlign w:val="baseline"/>
        </w:rPr>
        <w:t>entre</w:t>
      </w:r>
      <w:r>
        <w:rPr>
          <w:spacing w:val="-3"/>
          <w:sz w:val="20"/>
          <w:vertAlign w:val="baseline"/>
        </w:rPr>
        <w:t> </w:t>
      </w:r>
      <w:r>
        <w:rPr>
          <w:sz w:val="20"/>
          <w:vertAlign w:val="baseline"/>
        </w:rPr>
        <w:t>as</w:t>
      </w:r>
      <w:r>
        <w:rPr>
          <w:spacing w:val="-2"/>
          <w:sz w:val="20"/>
          <w:vertAlign w:val="baseline"/>
        </w:rPr>
        <w:t> </w:t>
      </w:r>
      <w:r>
        <w:rPr>
          <w:sz w:val="20"/>
          <w:vertAlign w:val="baseline"/>
        </w:rPr>
        <w:t>investigações</w:t>
      </w:r>
      <w:r>
        <w:rPr>
          <w:spacing w:val="-2"/>
          <w:sz w:val="20"/>
          <w:vertAlign w:val="baseline"/>
        </w:rPr>
        <w:t> </w:t>
      </w:r>
      <w:r>
        <w:rPr>
          <w:sz w:val="20"/>
          <w:vertAlign w:val="baseline"/>
        </w:rPr>
        <w:t>foram</w:t>
      </w:r>
      <w:r>
        <w:rPr>
          <w:spacing w:val="-3"/>
          <w:sz w:val="20"/>
          <w:vertAlign w:val="baseline"/>
        </w:rPr>
        <w:t> </w:t>
      </w:r>
      <w:r>
        <w:rPr>
          <w:sz w:val="20"/>
          <w:vertAlign w:val="baseline"/>
        </w:rPr>
        <w:t>ajustados.</w:t>
      </w:r>
      <w:r>
        <w:rPr>
          <w:spacing w:val="-2"/>
          <w:sz w:val="20"/>
          <w:vertAlign w:val="baseline"/>
        </w:rPr>
        <w:t> </w:t>
      </w:r>
      <w:r>
        <w:rPr>
          <w:sz w:val="20"/>
          <w:vertAlign w:val="baseline"/>
        </w:rPr>
        <w:t>O</w:t>
      </w:r>
      <w:r>
        <w:rPr>
          <w:spacing w:val="-4"/>
          <w:sz w:val="20"/>
          <w:vertAlign w:val="baseline"/>
        </w:rPr>
        <w:t> </w:t>
      </w:r>
      <w:r>
        <w:rPr>
          <w:sz w:val="20"/>
          <w:vertAlign w:val="baseline"/>
        </w:rPr>
        <w:t>melhor</w:t>
      </w:r>
      <w:r>
        <w:rPr>
          <w:spacing w:val="-2"/>
          <w:sz w:val="20"/>
          <w:vertAlign w:val="baseline"/>
        </w:rPr>
        <w:t> </w:t>
      </w:r>
      <w:r>
        <w:rPr>
          <w:sz w:val="20"/>
          <w:vertAlign w:val="baseline"/>
        </w:rPr>
        <w:t>modelo</w:t>
      </w:r>
      <w:r>
        <w:rPr>
          <w:spacing w:val="-5"/>
          <w:sz w:val="20"/>
          <w:vertAlign w:val="baseline"/>
        </w:rPr>
        <w:t> </w:t>
      </w:r>
      <w:r>
        <w:rPr>
          <w:sz w:val="20"/>
          <w:vertAlign w:val="baseline"/>
        </w:rPr>
        <w:t>considerava</w:t>
      </w:r>
      <w:r>
        <w:rPr>
          <w:spacing w:val="-4"/>
          <w:sz w:val="20"/>
          <w:vertAlign w:val="baseline"/>
        </w:rPr>
        <w:t> </w:t>
      </w:r>
      <w:r>
        <w:rPr>
          <w:sz w:val="20"/>
          <w:vertAlign w:val="baseline"/>
        </w:rPr>
        <w:t>um conjunto maior de variáveis, mas o grau de qualidade da previsão da variável “usuários de Internet” não se mostrou significativamente diferente da apresentada pelo modelo com variáveis comuns às duas coletas.</w:t>
      </w:r>
    </w:p>
    <w:p>
      <w:pPr>
        <w:spacing w:after="0"/>
        <w:jc w:val="left"/>
        <w:rPr>
          <w:sz w:val="20"/>
        </w:rPr>
        <w:sectPr>
          <w:headerReference w:type="default" r:id="rId10"/>
          <w:footerReference w:type="default" r:id="rId11"/>
          <w:pgSz w:w="11910" w:h="16840"/>
          <w:pgMar w:header="737" w:footer="1652" w:top="2180" w:bottom="1840" w:left="708" w:right="708"/>
        </w:sectPr>
      </w:pPr>
    </w:p>
    <w:p>
      <w:pPr>
        <w:pStyle w:val="BodyText"/>
      </w:pPr>
    </w:p>
    <w:p>
      <w:pPr>
        <w:pStyle w:val="BodyText"/>
        <w:spacing w:before="243"/>
      </w:pPr>
    </w:p>
    <w:p>
      <w:pPr>
        <w:pStyle w:val="Heading2"/>
      </w:pPr>
      <w:r>
        <w:rPr/>
        <w:t>TABELA</w:t>
      </w:r>
      <w:r>
        <w:rPr>
          <w:spacing w:val="-8"/>
        </w:rPr>
        <w:t> </w:t>
      </w:r>
      <w:r>
        <w:rPr>
          <w:spacing w:val="-10"/>
        </w:rPr>
        <w:t>1</w:t>
      </w:r>
    </w:p>
    <w:p>
      <w:pPr>
        <w:spacing w:before="0" w:after="5"/>
        <w:ind w:left="144" w:right="0" w:firstLine="0"/>
        <w:jc w:val="left"/>
        <w:rPr>
          <w:b/>
          <w:sz w:val="22"/>
        </w:rPr>
      </w:pPr>
      <w:r>
        <w:rPr>
          <w:b/>
          <w:sz w:val="22"/>
        </w:rPr>
        <w:t>ESTATÍSTICAS</w:t>
      </w:r>
      <w:r>
        <w:rPr>
          <w:b/>
          <w:spacing w:val="-3"/>
          <w:sz w:val="22"/>
        </w:rPr>
        <w:t> </w:t>
      </w:r>
      <w:r>
        <w:rPr>
          <w:b/>
          <w:sz w:val="22"/>
        </w:rPr>
        <w:t>DE</w:t>
      </w:r>
      <w:r>
        <w:rPr>
          <w:b/>
          <w:spacing w:val="-2"/>
          <w:sz w:val="22"/>
        </w:rPr>
        <w:t> </w:t>
      </w:r>
      <w:r>
        <w:rPr>
          <w:b/>
          <w:sz w:val="22"/>
        </w:rPr>
        <w:t>AJUSTE</w:t>
      </w:r>
      <w:r>
        <w:rPr>
          <w:b/>
          <w:spacing w:val="-3"/>
          <w:sz w:val="22"/>
        </w:rPr>
        <w:t> </w:t>
      </w:r>
      <w:r>
        <w:rPr>
          <w:b/>
          <w:sz w:val="22"/>
        </w:rPr>
        <w:t>DO</w:t>
      </w:r>
      <w:r>
        <w:rPr>
          <w:b/>
          <w:spacing w:val="-3"/>
          <w:sz w:val="22"/>
        </w:rPr>
        <w:t> </w:t>
      </w:r>
      <w:r>
        <w:rPr>
          <w:b/>
          <w:spacing w:val="-2"/>
          <w:sz w:val="22"/>
        </w:rPr>
        <w:t>MODELO</w:t>
      </w: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26"/>
        <w:gridCol w:w="992"/>
        <w:gridCol w:w="1704"/>
      </w:tblGrid>
      <w:tr>
        <w:trPr>
          <w:trHeight w:val="297" w:hRule="atLeast"/>
        </w:trPr>
        <w:tc>
          <w:tcPr>
            <w:tcW w:w="7526" w:type="dxa"/>
            <w:vMerge w:val="restart"/>
            <w:tcBorders>
              <w:left w:val="nil"/>
            </w:tcBorders>
          </w:tcPr>
          <w:p>
            <w:pPr>
              <w:pStyle w:val="TableParagraph"/>
              <w:spacing w:before="152"/>
              <w:rPr>
                <w:b/>
                <w:sz w:val="22"/>
              </w:rPr>
            </w:pPr>
          </w:p>
          <w:p>
            <w:pPr>
              <w:pStyle w:val="TableParagraph"/>
              <w:spacing w:before="1"/>
              <w:ind w:left="80"/>
              <w:rPr>
                <w:sz w:val="22"/>
              </w:rPr>
            </w:pPr>
            <w:r>
              <w:rPr>
                <w:sz w:val="22"/>
              </w:rPr>
              <w:t>Variáveis</w:t>
            </w:r>
            <w:r>
              <w:rPr>
                <w:spacing w:val="-8"/>
                <w:sz w:val="22"/>
              </w:rPr>
              <w:t> </w:t>
            </w:r>
            <w:r>
              <w:rPr>
                <w:sz w:val="22"/>
              </w:rPr>
              <w:t>independentes</w:t>
            </w:r>
            <w:r>
              <w:rPr>
                <w:spacing w:val="-6"/>
                <w:sz w:val="22"/>
              </w:rPr>
              <w:t> </w:t>
            </w:r>
            <w:r>
              <w:rPr>
                <w:sz w:val="22"/>
              </w:rPr>
              <w:t>no</w:t>
            </w:r>
            <w:r>
              <w:rPr>
                <w:spacing w:val="-2"/>
                <w:sz w:val="22"/>
              </w:rPr>
              <w:t> modelo</w:t>
            </w:r>
          </w:p>
        </w:tc>
        <w:tc>
          <w:tcPr>
            <w:tcW w:w="2696" w:type="dxa"/>
            <w:gridSpan w:val="2"/>
            <w:tcBorders>
              <w:right w:val="nil"/>
            </w:tcBorders>
          </w:tcPr>
          <w:p>
            <w:pPr>
              <w:pStyle w:val="TableParagraph"/>
              <w:spacing w:line="266" w:lineRule="exact"/>
              <w:ind w:left="463"/>
              <w:rPr>
                <w:sz w:val="22"/>
              </w:rPr>
            </w:pPr>
            <w:r>
              <w:rPr>
                <w:sz w:val="22"/>
              </w:rPr>
              <w:t>TIC</w:t>
            </w:r>
            <w:r>
              <w:rPr>
                <w:spacing w:val="-5"/>
                <w:sz w:val="22"/>
              </w:rPr>
              <w:t> </w:t>
            </w:r>
            <w:r>
              <w:rPr>
                <w:sz w:val="22"/>
              </w:rPr>
              <w:t>Domicílios</w:t>
            </w:r>
            <w:r>
              <w:rPr>
                <w:spacing w:val="-3"/>
                <w:sz w:val="22"/>
              </w:rPr>
              <w:t> </w:t>
            </w:r>
            <w:r>
              <w:rPr>
                <w:spacing w:val="-4"/>
                <w:sz w:val="22"/>
              </w:rPr>
              <w:t>2019</w:t>
            </w:r>
          </w:p>
        </w:tc>
      </w:tr>
      <w:tr>
        <w:trPr>
          <w:trHeight w:val="806" w:hRule="atLeast"/>
        </w:trPr>
        <w:tc>
          <w:tcPr>
            <w:tcW w:w="7526" w:type="dxa"/>
            <w:vMerge/>
            <w:tcBorders>
              <w:top w:val="nil"/>
              <w:left w:val="nil"/>
            </w:tcBorders>
          </w:tcPr>
          <w:p>
            <w:pPr>
              <w:rPr>
                <w:sz w:val="2"/>
                <w:szCs w:val="2"/>
              </w:rPr>
            </w:pPr>
          </w:p>
        </w:tc>
        <w:tc>
          <w:tcPr>
            <w:tcW w:w="992" w:type="dxa"/>
          </w:tcPr>
          <w:p>
            <w:pPr>
              <w:pStyle w:val="TableParagraph"/>
              <w:spacing w:before="94"/>
              <w:rPr>
                <w:b/>
                <w:sz w:val="14"/>
              </w:rPr>
            </w:pPr>
          </w:p>
          <w:p>
            <w:pPr>
              <w:pStyle w:val="TableParagraph"/>
              <w:spacing w:before="1"/>
              <w:ind w:right="6"/>
              <w:jc w:val="center"/>
              <w:rPr>
                <w:sz w:val="14"/>
              </w:rPr>
            </w:pPr>
            <w:r>
              <w:rPr>
                <w:spacing w:val="-5"/>
                <w:position w:val="-7"/>
                <w:sz w:val="22"/>
              </w:rPr>
              <w:t>R</w:t>
            </w:r>
            <w:r>
              <w:rPr>
                <w:spacing w:val="-5"/>
                <w:sz w:val="14"/>
              </w:rPr>
              <w:t>2</w:t>
            </w:r>
          </w:p>
        </w:tc>
        <w:tc>
          <w:tcPr>
            <w:tcW w:w="1704" w:type="dxa"/>
            <w:tcBorders>
              <w:right w:val="nil"/>
            </w:tcBorders>
          </w:tcPr>
          <w:p>
            <w:pPr>
              <w:pStyle w:val="TableParagraph"/>
              <w:spacing w:before="1"/>
              <w:ind w:left="295" w:firstLine="208"/>
              <w:rPr>
                <w:sz w:val="22"/>
              </w:rPr>
            </w:pPr>
            <w:r>
              <w:rPr>
                <w:sz w:val="22"/>
              </w:rPr>
              <w:t>Taxa de </w:t>
            </w:r>
            <w:r>
              <w:rPr>
                <w:spacing w:val="-2"/>
                <w:sz w:val="22"/>
              </w:rPr>
              <w:t>classificação</w:t>
            </w:r>
          </w:p>
          <w:p>
            <w:pPr>
              <w:pStyle w:val="TableParagraph"/>
              <w:spacing w:line="247" w:lineRule="exact"/>
              <w:ind w:left="427"/>
              <w:rPr>
                <w:sz w:val="22"/>
              </w:rPr>
            </w:pPr>
            <w:r>
              <w:rPr>
                <w:spacing w:val="-2"/>
                <w:sz w:val="22"/>
              </w:rPr>
              <w:t>correta</w:t>
            </w:r>
            <w:r>
              <w:rPr>
                <w:spacing w:val="-10"/>
                <w:sz w:val="22"/>
              </w:rPr>
              <w:t> </w:t>
            </w:r>
            <w:r>
              <w:rPr>
                <w:spacing w:val="-5"/>
                <w:sz w:val="22"/>
                <w:vertAlign w:val="superscript"/>
              </w:rPr>
              <w:t>(1)</w:t>
            </w:r>
          </w:p>
        </w:tc>
      </w:tr>
      <w:tr>
        <w:trPr>
          <w:trHeight w:val="838" w:hRule="atLeast"/>
        </w:trPr>
        <w:tc>
          <w:tcPr>
            <w:tcW w:w="7526" w:type="dxa"/>
            <w:tcBorders>
              <w:left w:val="nil"/>
            </w:tcBorders>
          </w:tcPr>
          <w:p>
            <w:pPr>
              <w:pStyle w:val="TableParagraph"/>
              <w:spacing w:before="12"/>
              <w:rPr>
                <w:b/>
                <w:sz w:val="22"/>
              </w:rPr>
            </w:pPr>
          </w:p>
          <w:p>
            <w:pPr>
              <w:pStyle w:val="TableParagraph"/>
              <w:spacing w:before="1"/>
              <w:ind w:left="80"/>
              <w:rPr>
                <w:sz w:val="22"/>
              </w:rPr>
            </w:pPr>
            <w:r>
              <w:rPr>
                <w:sz w:val="22"/>
              </w:rPr>
              <w:t>Sexo,</w:t>
            </w:r>
            <w:r>
              <w:rPr>
                <w:spacing w:val="-3"/>
                <w:sz w:val="22"/>
              </w:rPr>
              <w:t> </w:t>
            </w:r>
            <w:r>
              <w:rPr>
                <w:sz w:val="22"/>
              </w:rPr>
              <w:t>Idade,</w:t>
            </w:r>
            <w:r>
              <w:rPr>
                <w:spacing w:val="-2"/>
                <w:sz w:val="22"/>
              </w:rPr>
              <w:t> </w:t>
            </w:r>
            <w:r>
              <w:rPr>
                <w:sz w:val="22"/>
              </w:rPr>
              <w:t>Grau de</w:t>
            </w:r>
            <w:r>
              <w:rPr>
                <w:spacing w:val="-4"/>
                <w:sz w:val="22"/>
              </w:rPr>
              <w:t> </w:t>
            </w:r>
            <w:r>
              <w:rPr>
                <w:sz w:val="22"/>
              </w:rPr>
              <w:t>instrução,</w:t>
            </w:r>
            <w:r>
              <w:rPr>
                <w:spacing w:val="-3"/>
                <w:sz w:val="22"/>
              </w:rPr>
              <w:t> </w:t>
            </w:r>
            <w:r>
              <w:rPr>
                <w:sz w:val="22"/>
              </w:rPr>
              <w:t>Classe</w:t>
            </w:r>
            <w:r>
              <w:rPr>
                <w:spacing w:val="-5"/>
                <w:sz w:val="22"/>
              </w:rPr>
              <w:t> </w:t>
            </w:r>
            <w:r>
              <w:rPr>
                <w:sz w:val="22"/>
              </w:rPr>
              <w:t>social,</w:t>
            </w:r>
            <w:r>
              <w:rPr>
                <w:spacing w:val="1"/>
                <w:sz w:val="22"/>
              </w:rPr>
              <w:t> </w:t>
            </w:r>
            <w:r>
              <w:rPr>
                <w:sz w:val="22"/>
              </w:rPr>
              <w:t>Indicador</w:t>
            </w:r>
            <w:r>
              <w:rPr>
                <w:spacing w:val="-3"/>
                <w:sz w:val="22"/>
              </w:rPr>
              <w:t> </w:t>
            </w:r>
            <w:r>
              <w:rPr>
                <w:sz w:val="22"/>
              </w:rPr>
              <w:t>de</w:t>
            </w:r>
            <w:r>
              <w:rPr>
                <w:spacing w:val="-5"/>
                <w:sz w:val="22"/>
              </w:rPr>
              <w:t> </w:t>
            </w:r>
            <w:r>
              <w:rPr>
                <w:sz w:val="22"/>
              </w:rPr>
              <w:t>usuário</w:t>
            </w:r>
            <w:r>
              <w:rPr>
                <w:spacing w:val="-3"/>
                <w:sz w:val="22"/>
              </w:rPr>
              <w:t> </w:t>
            </w:r>
            <w:r>
              <w:rPr>
                <w:sz w:val="22"/>
              </w:rPr>
              <w:t>de</w:t>
            </w:r>
            <w:r>
              <w:rPr>
                <w:spacing w:val="-1"/>
                <w:sz w:val="22"/>
              </w:rPr>
              <w:t> </w:t>
            </w:r>
            <w:r>
              <w:rPr>
                <w:spacing w:val="-2"/>
                <w:sz w:val="22"/>
              </w:rPr>
              <w:t>computador</w:t>
            </w:r>
          </w:p>
        </w:tc>
        <w:tc>
          <w:tcPr>
            <w:tcW w:w="992" w:type="dxa"/>
          </w:tcPr>
          <w:p>
            <w:pPr>
              <w:pStyle w:val="TableParagraph"/>
              <w:spacing w:before="12"/>
              <w:rPr>
                <w:b/>
                <w:sz w:val="22"/>
              </w:rPr>
            </w:pPr>
          </w:p>
          <w:p>
            <w:pPr>
              <w:pStyle w:val="TableParagraph"/>
              <w:spacing w:before="1"/>
              <w:ind w:left="6" w:right="6"/>
              <w:jc w:val="center"/>
              <w:rPr>
                <w:sz w:val="22"/>
              </w:rPr>
            </w:pPr>
            <w:r>
              <w:rPr>
                <w:spacing w:val="-4"/>
                <w:sz w:val="22"/>
              </w:rPr>
              <w:t>0,431</w:t>
            </w:r>
          </w:p>
        </w:tc>
        <w:tc>
          <w:tcPr>
            <w:tcW w:w="1704" w:type="dxa"/>
            <w:tcBorders>
              <w:right w:val="nil"/>
            </w:tcBorders>
          </w:tcPr>
          <w:p>
            <w:pPr>
              <w:pStyle w:val="TableParagraph"/>
              <w:spacing w:before="12"/>
              <w:rPr>
                <w:b/>
                <w:sz w:val="22"/>
              </w:rPr>
            </w:pPr>
          </w:p>
          <w:p>
            <w:pPr>
              <w:pStyle w:val="TableParagraph"/>
              <w:spacing w:before="1"/>
              <w:ind w:right="4"/>
              <w:jc w:val="center"/>
              <w:rPr>
                <w:sz w:val="22"/>
              </w:rPr>
            </w:pPr>
            <w:r>
              <w:rPr>
                <w:spacing w:val="-5"/>
                <w:sz w:val="22"/>
              </w:rPr>
              <w:t>83%</w:t>
            </w:r>
          </w:p>
        </w:tc>
      </w:tr>
    </w:tbl>
    <w:p>
      <w:pPr>
        <w:spacing w:before="0"/>
        <w:ind w:left="144" w:right="0" w:firstLine="0"/>
        <w:jc w:val="left"/>
        <w:rPr>
          <w:sz w:val="18"/>
        </w:rPr>
      </w:pPr>
      <w:r>
        <w:rPr>
          <w:sz w:val="18"/>
        </w:rPr>
        <w:t>Fonte:</w:t>
      </w:r>
      <w:r>
        <w:rPr>
          <w:spacing w:val="-3"/>
          <w:sz w:val="18"/>
        </w:rPr>
        <w:t> </w:t>
      </w:r>
      <w:r>
        <w:rPr>
          <w:sz w:val="18"/>
        </w:rPr>
        <w:t>CGI.br,</w:t>
      </w:r>
      <w:r>
        <w:rPr>
          <w:spacing w:val="-4"/>
          <w:sz w:val="18"/>
        </w:rPr>
        <w:t> </w:t>
      </w:r>
      <w:r>
        <w:rPr>
          <w:sz w:val="18"/>
        </w:rPr>
        <w:t>TIC</w:t>
      </w:r>
      <w:r>
        <w:rPr>
          <w:spacing w:val="-3"/>
          <w:sz w:val="18"/>
        </w:rPr>
        <w:t> </w:t>
      </w:r>
      <w:r>
        <w:rPr>
          <w:sz w:val="18"/>
        </w:rPr>
        <w:t>Domicílios</w:t>
      </w:r>
      <w:r>
        <w:rPr>
          <w:spacing w:val="-2"/>
          <w:sz w:val="18"/>
        </w:rPr>
        <w:t> </w:t>
      </w:r>
      <w:r>
        <w:rPr>
          <w:sz w:val="18"/>
        </w:rPr>
        <w:t>2019</w:t>
      </w:r>
      <w:r>
        <w:rPr>
          <w:spacing w:val="2"/>
          <w:sz w:val="18"/>
        </w:rPr>
        <w:t> </w:t>
      </w:r>
      <w:r>
        <w:rPr>
          <w:spacing w:val="-2"/>
          <w:sz w:val="18"/>
        </w:rPr>
        <w:t>(2020).</w:t>
      </w:r>
    </w:p>
    <w:p>
      <w:pPr>
        <w:spacing w:before="0"/>
        <w:ind w:left="144" w:right="0" w:firstLine="0"/>
        <w:jc w:val="left"/>
        <w:rPr>
          <w:sz w:val="18"/>
        </w:rPr>
      </w:pPr>
      <w:r>
        <w:rPr>
          <w:sz w:val="18"/>
        </w:rPr>
        <w:t>(1)</w:t>
      </w:r>
      <w:r>
        <w:rPr>
          <w:spacing w:val="-1"/>
          <w:sz w:val="18"/>
        </w:rPr>
        <w:t> </w:t>
      </w:r>
      <w:r>
        <w:rPr>
          <w:sz w:val="18"/>
        </w:rPr>
        <w:t>=</w:t>
      </w:r>
      <w:r>
        <w:rPr>
          <w:spacing w:val="-5"/>
          <w:sz w:val="18"/>
        </w:rPr>
        <w:t> </w:t>
      </w:r>
      <w:r>
        <w:rPr>
          <w:sz w:val="18"/>
        </w:rPr>
        <w:t>Percentual</w:t>
      </w:r>
      <w:r>
        <w:rPr>
          <w:spacing w:val="-5"/>
          <w:sz w:val="18"/>
        </w:rPr>
        <w:t> </w:t>
      </w:r>
      <w:r>
        <w:rPr>
          <w:sz w:val="18"/>
        </w:rPr>
        <w:t>de</w:t>
      </w:r>
      <w:r>
        <w:rPr>
          <w:spacing w:val="-5"/>
          <w:sz w:val="18"/>
        </w:rPr>
        <w:t> </w:t>
      </w:r>
      <w:r>
        <w:rPr>
          <w:sz w:val="18"/>
        </w:rPr>
        <w:t>indivíduos</w:t>
      </w:r>
      <w:r>
        <w:rPr>
          <w:spacing w:val="1"/>
          <w:sz w:val="18"/>
        </w:rPr>
        <w:t> </w:t>
      </w:r>
      <w:r>
        <w:rPr>
          <w:sz w:val="18"/>
        </w:rPr>
        <w:t>classificados</w:t>
      </w:r>
      <w:r>
        <w:rPr>
          <w:spacing w:val="-1"/>
          <w:sz w:val="18"/>
        </w:rPr>
        <w:t> </w:t>
      </w:r>
      <w:r>
        <w:rPr>
          <w:sz w:val="18"/>
        </w:rPr>
        <w:t>corretamente</w:t>
      </w:r>
      <w:r>
        <w:rPr>
          <w:spacing w:val="-2"/>
          <w:sz w:val="18"/>
        </w:rPr>
        <w:t> </w:t>
      </w:r>
      <w:r>
        <w:rPr>
          <w:sz w:val="18"/>
        </w:rPr>
        <w:t>com</w:t>
      </w:r>
      <w:r>
        <w:rPr>
          <w:spacing w:val="-2"/>
          <w:sz w:val="18"/>
        </w:rPr>
        <w:t> </w:t>
      </w:r>
      <w:r>
        <w:rPr>
          <w:sz w:val="18"/>
        </w:rPr>
        <w:t>base</w:t>
      </w:r>
      <w:r>
        <w:rPr>
          <w:spacing w:val="-5"/>
          <w:sz w:val="18"/>
        </w:rPr>
        <w:t> </w:t>
      </w:r>
      <w:r>
        <w:rPr>
          <w:sz w:val="18"/>
        </w:rPr>
        <w:t>no</w:t>
      </w:r>
      <w:r>
        <w:rPr>
          <w:spacing w:val="-2"/>
          <w:sz w:val="18"/>
        </w:rPr>
        <w:t> </w:t>
      </w:r>
      <w:r>
        <w:rPr>
          <w:sz w:val="18"/>
        </w:rPr>
        <w:t>modelo</w:t>
      </w:r>
      <w:r>
        <w:rPr>
          <w:spacing w:val="-1"/>
          <w:sz w:val="18"/>
        </w:rPr>
        <w:t> </w:t>
      </w:r>
      <w:r>
        <w:rPr>
          <w:spacing w:val="-2"/>
          <w:sz w:val="18"/>
        </w:rPr>
        <w:t>ajustado.</w:t>
      </w:r>
    </w:p>
    <w:p>
      <w:pPr>
        <w:pStyle w:val="BodyText"/>
        <w:spacing w:before="18"/>
        <w:rPr>
          <w:sz w:val="18"/>
        </w:rPr>
      </w:pPr>
    </w:p>
    <w:p>
      <w:pPr>
        <w:spacing w:before="0"/>
        <w:ind w:left="144" w:right="0" w:firstLine="0"/>
        <w:jc w:val="left"/>
        <w:rPr>
          <w:i/>
          <w:sz w:val="22"/>
        </w:rPr>
      </w:pPr>
      <w:r>
        <w:rPr>
          <w:i/>
          <w:sz w:val="22"/>
          <w:u w:val="single"/>
        </w:rPr>
        <w:t>Passo</w:t>
      </w:r>
      <w:r>
        <w:rPr>
          <w:i/>
          <w:spacing w:val="-6"/>
          <w:sz w:val="22"/>
          <w:u w:val="single"/>
        </w:rPr>
        <w:t> </w:t>
      </w:r>
      <w:r>
        <w:rPr>
          <w:i/>
          <w:sz w:val="22"/>
          <w:u w:val="single"/>
        </w:rPr>
        <w:t>III.</w:t>
      </w:r>
      <w:r>
        <w:rPr>
          <w:i/>
          <w:spacing w:val="-3"/>
          <w:sz w:val="22"/>
          <w:u w:val="single"/>
        </w:rPr>
        <w:t> </w:t>
      </w:r>
      <w:r>
        <w:rPr>
          <w:i/>
          <w:sz w:val="22"/>
          <w:u w:val="single"/>
        </w:rPr>
        <w:t>Estimação</w:t>
      </w:r>
      <w:r>
        <w:rPr>
          <w:i/>
          <w:spacing w:val="-6"/>
          <w:sz w:val="22"/>
          <w:u w:val="single"/>
        </w:rPr>
        <w:t> </w:t>
      </w:r>
      <w:r>
        <w:rPr>
          <w:i/>
          <w:sz w:val="22"/>
          <w:u w:val="single"/>
        </w:rPr>
        <w:t>dos</w:t>
      </w:r>
      <w:r>
        <w:rPr>
          <w:i/>
          <w:spacing w:val="-2"/>
          <w:sz w:val="22"/>
          <w:u w:val="single"/>
        </w:rPr>
        <w:t> </w:t>
      </w:r>
      <w:r>
        <w:rPr>
          <w:i/>
          <w:sz w:val="22"/>
          <w:u w:val="single"/>
        </w:rPr>
        <w:t>escores</w:t>
      </w:r>
      <w:r>
        <w:rPr>
          <w:i/>
          <w:spacing w:val="-6"/>
          <w:sz w:val="22"/>
          <w:u w:val="single"/>
        </w:rPr>
        <w:t> </w:t>
      </w:r>
      <w:r>
        <w:rPr>
          <w:i/>
          <w:sz w:val="22"/>
          <w:u w:val="single"/>
        </w:rPr>
        <w:t>de</w:t>
      </w:r>
      <w:r>
        <w:rPr>
          <w:i/>
          <w:spacing w:val="-5"/>
          <w:sz w:val="22"/>
          <w:u w:val="single"/>
        </w:rPr>
        <w:t> </w:t>
      </w:r>
      <w:r>
        <w:rPr>
          <w:i/>
          <w:sz w:val="22"/>
          <w:u w:val="single"/>
        </w:rPr>
        <w:t>propensão</w:t>
      </w:r>
      <w:r>
        <w:rPr>
          <w:i/>
          <w:spacing w:val="-1"/>
          <w:sz w:val="22"/>
          <w:u w:val="single"/>
        </w:rPr>
        <w:t> </w:t>
      </w:r>
      <w:r>
        <w:rPr>
          <w:i/>
          <w:sz w:val="22"/>
          <w:u w:val="single"/>
        </w:rPr>
        <w:t>para</w:t>
      </w:r>
      <w:r>
        <w:rPr>
          <w:i/>
          <w:spacing w:val="-2"/>
          <w:sz w:val="22"/>
          <w:u w:val="single"/>
        </w:rPr>
        <w:t> </w:t>
      </w:r>
      <w:r>
        <w:rPr>
          <w:i/>
          <w:sz w:val="22"/>
          <w:u w:val="single"/>
        </w:rPr>
        <w:t>os</w:t>
      </w:r>
      <w:r>
        <w:rPr>
          <w:i/>
          <w:spacing w:val="-2"/>
          <w:sz w:val="22"/>
          <w:u w:val="single"/>
        </w:rPr>
        <w:t> </w:t>
      </w:r>
      <w:r>
        <w:rPr>
          <w:i/>
          <w:sz w:val="22"/>
          <w:u w:val="single"/>
        </w:rPr>
        <w:t>respondentes</w:t>
      </w:r>
      <w:r>
        <w:rPr>
          <w:i/>
          <w:spacing w:val="-2"/>
          <w:sz w:val="22"/>
          <w:u w:val="single"/>
        </w:rPr>
        <w:t> </w:t>
      </w:r>
      <w:r>
        <w:rPr>
          <w:i/>
          <w:sz w:val="22"/>
          <w:u w:val="single"/>
        </w:rPr>
        <w:t>do</w:t>
      </w:r>
      <w:r>
        <w:rPr>
          <w:i/>
          <w:spacing w:val="-1"/>
          <w:sz w:val="22"/>
          <w:u w:val="single"/>
        </w:rPr>
        <w:t> </w:t>
      </w:r>
      <w:r>
        <w:rPr>
          <w:i/>
          <w:sz w:val="22"/>
          <w:u w:val="single"/>
        </w:rPr>
        <w:t>Painel</w:t>
      </w:r>
      <w:r>
        <w:rPr>
          <w:i/>
          <w:spacing w:val="-3"/>
          <w:sz w:val="22"/>
          <w:u w:val="single"/>
        </w:rPr>
        <w:t> </w:t>
      </w:r>
      <w:r>
        <w:rPr>
          <w:i/>
          <w:sz w:val="22"/>
          <w:u w:val="single"/>
        </w:rPr>
        <w:t>TIC</w:t>
      </w:r>
      <w:r>
        <w:rPr>
          <w:i/>
          <w:spacing w:val="-3"/>
          <w:sz w:val="22"/>
          <w:u w:val="single"/>
        </w:rPr>
        <w:t> </w:t>
      </w:r>
      <w:r>
        <w:rPr>
          <w:i/>
          <w:sz w:val="22"/>
          <w:u w:val="single"/>
        </w:rPr>
        <w:t>COVID-</w:t>
      </w:r>
      <w:r>
        <w:rPr>
          <w:i/>
          <w:spacing w:val="-5"/>
          <w:sz w:val="22"/>
          <w:u w:val="single"/>
        </w:rPr>
        <w:t>19</w:t>
      </w:r>
    </w:p>
    <w:p>
      <w:pPr>
        <w:pStyle w:val="BodyText"/>
        <w:spacing w:before="11"/>
        <w:rPr>
          <w:i/>
        </w:rPr>
      </w:pPr>
    </w:p>
    <w:p>
      <w:pPr>
        <w:pStyle w:val="BodyText"/>
        <w:spacing w:line="276" w:lineRule="auto"/>
        <w:ind w:left="144" w:right="138"/>
        <w:jc w:val="both"/>
      </w:pPr>
      <w:r>
        <w:rPr/>
        <w:t>A partir do modelo ajustado com os dados da pesquisa TIC Domicílios 2019, foram estimados os escores de propensão para o conjunto de respondentes do Painel TIC COVID-19. Em seguida, foi feita a comparação das distribuições dos escores de propensão na amostra da TIC Domicílios 2019 com os escores da amostra do Painel TIC COVID-19 para os usuários de Internet. Os resultados são apresentados na Tabela 2. É possível notar que a distribuição dos escores dos respondentes do Painel TIC COVID-19 da terceira edição tem um perfil distinto do observado para a população usuária de Internet de 16 anos ou mais segundo a TIC Domicílios 2019.</w:t>
      </w:r>
    </w:p>
    <w:p>
      <w:pPr>
        <w:pStyle w:val="Heading2"/>
        <w:spacing w:line="268" w:lineRule="exact" w:before="240"/>
        <w:jc w:val="both"/>
      </w:pPr>
      <w:r>
        <w:rPr/>
        <w:t>TABELA</w:t>
      </w:r>
      <w:r>
        <w:rPr>
          <w:spacing w:val="-8"/>
        </w:rPr>
        <w:t> </w:t>
      </w:r>
      <w:r>
        <w:rPr>
          <w:spacing w:val="-10"/>
        </w:rPr>
        <w:t>2</w:t>
      </w:r>
    </w:p>
    <w:p>
      <w:pPr>
        <w:spacing w:line="268" w:lineRule="exact" w:before="0"/>
        <w:ind w:left="144" w:right="0" w:firstLine="0"/>
        <w:jc w:val="both"/>
        <w:rPr>
          <w:b/>
          <w:sz w:val="22"/>
        </w:rPr>
      </w:pPr>
      <w:r>
        <w:rPr>
          <w:b/>
          <w:sz w:val="22"/>
        </w:rPr>
        <w:t>ESTATÍSTICAS</w:t>
      </w:r>
      <w:r>
        <w:rPr>
          <w:b/>
          <w:spacing w:val="-3"/>
          <w:sz w:val="22"/>
        </w:rPr>
        <w:t> </w:t>
      </w:r>
      <w:r>
        <w:rPr>
          <w:b/>
          <w:sz w:val="22"/>
        </w:rPr>
        <w:t>DESCRITIVAS</w:t>
      </w:r>
      <w:r>
        <w:rPr>
          <w:b/>
          <w:spacing w:val="-3"/>
          <w:sz w:val="22"/>
        </w:rPr>
        <w:t> </w:t>
      </w:r>
      <w:r>
        <w:rPr>
          <w:b/>
          <w:sz w:val="22"/>
        </w:rPr>
        <w:t>DE</w:t>
      </w:r>
      <w:r>
        <w:rPr>
          <w:b/>
          <w:spacing w:val="-3"/>
          <w:sz w:val="22"/>
        </w:rPr>
        <w:t> </w:t>
      </w:r>
      <w:r>
        <w:rPr>
          <w:b/>
          <w:sz w:val="22"/>
        </w:rPr>
        <w:t>ESCORES</w:t>
      </w:r>
      <w:r>
        <w:rPr>
          <w:b/>
          <w:spacing w:val="-3"/>
          <w:sz w:val="22"/>
        </w:rPr>
        <w:t> </w:t>
      </w:r>
      <w:r>
        <w:rPr>
          <w:b/>
          <w:sz w:val="22"/>
        </w:rPr>
        <w:t>DE</w:t>
      </w:r>
      <w:r>
        <w:rPr>
          <w:b/>
          <w:spacing w:val="1"/>
          <w:sz w:val="22"/>
        </w:rPr>
        <w:t> </w:t>
      </w:r>
      <w:r>
        <w:rPr>
          <w:b/>
          <w:sz w:val="22"/>
        </w:rPr>
        <w:t>PROPENSÃO A</w:t>
      </w:r>
      <w:r>
        <w:rPr>
          <w:b/>
          <w:spacing w:val="-5"/>
          <w:sz w:val="22"/>
        </w:rPr>
        <w:t> </w:t>
      </w:r>
      <w:r>
        <w:rPr>
          <w:b/>
          <w:sz w:val="22"/>
        </w:rPr>
        <w:t>SER</w:t>
      </w:r>
      <w:r>
        <w:rPr>
          <w:b/>
          <w:spacing w:val="1"/>
          <w:sz w:val="22"/>
        </w:rPr>
        <w:t> </w:t>
      </w:r>
      <w:r>
        <w:rPr>
          <w:b/>
          <w:sz w:val="22"/>
        </w:rPr>
        <w:t>USUÁRIO</w:t>
      </w:r>
      <w:r>
        <w:rPr>
          <w:b/>
          <w:spacing w:val="-4"/>
          <w:sz w:val="22"/>
        </w:rPr>
        <w:t> </w:t>
      </w:r>
      <w:r>
        <w:rPr>
          <w:b/>
          <w:sz w:val="22"/>
        </w:rPr>
        <w:t>DE</w:t>
      </w:r>
      <w:r>
        <w:rPr>
          <w:b/>
          <w:spacing w:val="-2"/>
          <w:sz w:val="22"/>
        </w:rPr>
        <w:t> INTERNET</w:t>
      </w: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0"/>
        <w:gridCol w:w="1264"/>
        <w:gridCol w:w="1264"/>
        <w:gridCol w:w="1260"/>
        <w:gridCol w:w="1263"/>
        <w:gridCol w:w="1264"/>
        <w:gridCol w:w="1264"/>
      </w:tblGrid>
      <w:tr>
        <w:trPr>
          <w:trHeight w:val="290" w:hRule="atLeast"/>
        </w:trPr>
        <w:tc>
          <w:tcPr>
            <w:tcW w:w="2640" w:type="dxa"/>
            <w:tcBorders>
              <w:left w:val="nil"/>
              <w:bottom w:val="nil"/>
            </w:tcBorders>
          </w:tcPr>
          <w:p>
            <w:pPr>
              <w:pStyle w:val="TableParagraph"/>
              <w:rPr>
                <w:rFonts w:ascii="Times New Roman"/>
                <w:sz w:val="20"/>
              </w:rPr>
            </w:pPr>
          </w:p>
        </w:tc>
        <w:tc>
          <w:tcPr>
            <w:tcW w:w="1264" w:type="dxa"/>
          </w:tcPr>
          <w:p>
            <w:pPr>
              <w:pStyle w:val="TableParagraph"/>
              <w:spacing w:line="248" w:lineRule="exact" w:before="21"/>
              <w:ind w:left="8" w:right="4"/>
              <w:jc w:val="center"/>
              <w:rPr>
                <w:sz w:val="22"/>
              </w:rPr>
            </w:pPr>
            <w:r>
              <w:rPr>
                <w:spacing w:val="-2"/>
                <w:sz w:val="22"/>
              </w:rPr>
              <w:t>Mínimo</w:t>
            </w:r>
          </w:p>
        </w:tc>
        <w:tc>
          <w:tcPr>
            <w:tcW w:w="1264" w:type="dxa"/>
          </w:tcPr>
          <w:p>
            <w:pPr>
              <w:pStyle w:val="TableParagraph"/>
              <w:spacing w:line="248" w:lineRule="exact" w:before="21"/>
              <w:ind w:left="8" w:right="8"/>
              <w:jc w:val="center"/>
              <w:rPr>
                <w:sz w:val="22"/>
              </w:rPr>
            </w:pPr>
            <w:r>
              <w:rPr>
                <w:spacing w:val="-5"/>
                <w:sz w:val="22"/>
              </w:rPr>
              <w:t>Q1</w:t>
            </w:r>
          </w:p>
        </w:tc>
        <w:tc>
          <w:tcPr>
            <w:tcW w:w="1260" w:type="dxa"/>
          </w:tcPr>
          <w:p>
            <w:pPr>
              <w:pStyle w:val="TableParagraph"/>
              <w:spacing w:line="248" w:lineRule="exact" w:before="21"/>
              <w:ind w:left="6" w:right="2"/>
              <w:jc w:val="center"/>
              <w:rPr>
                <w:sz w:val="22"/>
              </w:rPr>
            </w:pPr>
            <w:r>
              <w:rPr>
                <w:spacing w:val="-2"/>
                <w:sz w:val="22"/>
              </w:rPr>
              <w:t>Mediana</w:t>
            </w:r>
          </w:p>
        </w:tc>
        <w:tc>
          <w:tcPr>
            <w:tcW w:w="1263" w:type="dxa"/>
          </w:tcPr>
          <w:p>
            <w:pPr>
              <w:pStyle w:val="TableParagraph"/>
              <w:spacing w:line="248" w:lineRule="exact" w:before="21"/>
              <w:ind w:left="12" w:right="6"/>
              <w:jc w:val="center"/>
              <w:rPr>
                <w:sz w:val="22"/>
              </w:rPr>
            </w:pPr>
            <w:r>
              <w:rPr>
                <w:spacing w:val="-2"/>
                <w:sz w:val="22"/>
              </w:rPr>
              <w:t>Média</w:t>
            </w:r>
          </w:p>
        </w:tc>
        <w:tc>
          <w:tcPr>
            <w:tcW w:w="1264" w:type="dxa"/>
          </w:tcPr>
          <w:p>
            <w:pPr>
              <w:pStyle w:val="TableParagraph"/>
              <w:spacing w:line="248" w:lineRule="exact" w:before="21"/>
              <w:ind w:left="8" w:right="6"/>
              <w:jc w:val="center"/>
              <w:rPr>
                <w:sz w:val="22"/>
              </w:rPr>
            </w:pPr>
            <w:r>
              <w:rPr>
                <w:spacing w:val="-5"/>
                <w:sz w:val="22"/>
              </w:rPr>
              <w:t>Q3</w:t>
            </w:r>
          </w:p>
        </w:tc>
        <w:tc>
          <w:tcPr>
            <w:tcW w:w="1264" w:type="dxa"/>
            <w:tcBorders>
              <w:right w:val="nil"/>
            </w:tcBorders>
          </w:tcPr>
          <w:p>
            <w:pPr>
              <w:pStyle w:val="TableParagraph"/>
              <w:spacing w:line="248" w:lineRule="exact" w:before="21"/>
              <w:ind w:left="1" w:right="2"/>
              <w:jc w:val="center"/>
              <w:rPr>
                <w:sz w:val="22"/>
              </w:rPr>
            </w:pPr>
            <w:r>
              <w:rPr>
                <w:spacing w:val="-2"/>
                <w:sz w:val="22"/>
              </w:rPr>
              <w:t>Máximo</w:t>
            </w:r>
          </w:p>
        </w:tc>
      </w:tr>
      <w:tr>
        <w:trPr>
          <w:trHeight w:val="316" w:hRule="atLeast"/>
        </w:trPr>
        <w:tc>
          <w:tcPr>
            <w:tcW w:w="2640" w:type="dxa"/>
            <w:tcBorders>
              <w:top w:val="nil"/>
              <w:left w:val="nil"/>
              <w:bottom w:val="nil"/>
            </w:tcBorders>
          </w:tcPr>
          <w:p>
            <w:pPr>
              <w:pStyle w:val="TableParagraph"/>
              <w:spacing w:before="21"/>
              <w:ind w:left="80"/>
              <w:rPr>
                <w:sz w:val="22"/>
              </w:rPr>
            </w:pPr>
            <w:r>
              <w:rPr>
                <w:sz w:val="22"/>
              </w:rPr>
              <w:t>TIC</w:t>
            </w:r>
            <w:r>
              <w:rPr>
                <w:spacing w:val="-5"/>
                <w:sz w:val="22"/>
              </w:rPr>
              <w:t> </w:t>
            </w:r>
            <w:r>
              <w:rPr>
                <w:sz w:val="22"/>
              </w:rPr>
              <w:t>Domicílios</w:t>
            </w:r>
            <w:r>
              <w:rPr>
                <w:spacing w:val="-3"/>
                <w:sz w:val="22"/>
              </w:rPr>
              <w:t> </w:t>
            </w:r>
            <w:r>
              <w:rPr>
                <w:spacing w:val="-4"/>
                <w:sz w:val="22"/>
              </w:rPr>
              <w:t>2019</w:t>
            </w:r>
          </w:p>
        </w:tc>
        <w:tc>
          <w:tcPr>
            <w:tcW w:w="1264" w:type="dxa"/>
            <w:tcBorders>
              <w:bottom w:val="nil"/>
            </w:tcBorders>
          </w:tcPr>
          <w:p>
            <w:pPr>
              <w:pStyle w:val="TableParagraph"/>
              <w:spacing w:before="9"/>
              <w:ind w:left="8"/>
              <w:jc w:val="center"/>
              <w:rPr>
                <w:sz w:val="22"/>
              </w:rPr>
            </w:pPr>
            <w:r>
              <w:rPr>
                <w:spacing w:val="-4"/>
                <w:sz w:val="22"/>
              </w:rPr>
              <w:t>0,03</w:t>
            </w:r>
          </w:p>
        </w:tc>
        <w:tc>
          <w:tcPr>
            <w:tcW w:w="1264" w:type="dxa"/>
            <w:tcBorders>
              <w:bottom w:val="nil"/>
            </w:tcBorders>
          </w:tcPr>
          <w:p>
            <w:pPr>
              <w:pStyle w:val="TableParagraph"/>
              <w:spacing w:before="9"/>
              <w:ind w:left="8" w:right="7"/>
              <w:jc w:val="center"/>
              <w:rPr>
                <w:sz w:val="22"/>
              </w:rPr>
            </w:pPr>
            <w:r>
              <w:rPr>
                <w:spacing w:val="-4"/>
                <w:sz w:val="22"/>
              </w:rPr>
              <w:t>0,72</w:t>
            </w:r>
          </w:p>
        </w:tc>
        <w:tc>
          <w:tcPr>
            <w:tcW w:w="1260" w:type="dxa"/>
            <w:tcBorders>
              <w:bottom w:val="nil"/>
            </w:tcBorders>
          </w:tcPr>
          <w:p>
            <w:pPr>
              <w:pStyle w:val="TableParagraph"/>
              <w:spacing w:before="9"/>
              <w:ind w:left="6"/>
              <w:jc w:val="center"/>
              <w:rPr>
                <w:sz w:val="22"/>
              </w:rPr>
            </w:pPr>
            <w:r>
              <w:rPr>
                <w:spacing w:val="-4"/>
                <w:sz w:val="22"/>
              </w:rPr>
              <w:t>0,92</w:t>
            </w:r>
          </w:p>
        </w:tc>
        <w:tc>
          <w:tcPr>
            <w:tcW w:w="1263" w:type="dxa"/>
            <w:tcBorders>
              <w:bottom w:val="nil"/>
            </w:tcBorders>
          </w:tcPr>
          <w:p>
            <w:pPr>
              <w:pStyle w:val="TableParagraph"/>
              <w:spacing w:before="9"/>
              <w:ind w:left="12"/>
              <w:jc w:val="center"/>
              <w:rPr>
                <w:sz w:val="22"/>
              </w:rPr>
            </w:pPr>
            <w:r>
              <w:rPr>
                <w:spacing w:val="-4"/>
                <w:sz w:val="22"/>
              </w:rPr>
              <w:t>0,82</w:t>
            </w:r>
          </w:p>
        </w:tc>
        <w:tc>
          <w:tcPr>
            <w:tcW w:w="1264" w:type="dxa"/>
            <w:tcBorders>
              <w:bottom w:val="nil"/>
            </w:tcBorders>
          </w:tcPr>
          <w:p>
            <w:pPr>
              <w:pStyle w:val="TableParagraph"/>
              <w:spacing w:before="9"/>
              <w:ind w:left="8" w:right="2"/>
              <w:jc w:val="center"/>
              <w:rPr>
                <w:sz w:val="22"/>
              </w:rPr>
            </w:pPr>
            <w:r>
              <w:rPr>
                <w:spacing w:val="-4"/>
                <w:sz w:val="22"/>
              </w:rPr>
              <w:t>0,99</w:t>
            </w:r>
          </w:p>
        </w:tc>
        <w:tc>
          <w:tcPr>
            <w:tcW w:w="1264" w:type="dxa"/>
            <w:tcBorders>
              <w:bottom w:val="nil"/>
              <w:right w:val="nil"/>
            </w:tcBorders>
          </w:tcPr>
          <w:p>
            <w:pPr>
              <w:pStyle w:val="TableParagraph"/>
              <w:spacing w:before="9"/>
              <w:ind w:left="2" w:right="1"/>
              <w:jc w:val="center"/>
              <w:rPr>
                <w:sz w:val="22"/>
              </w:rPr>
            </w:pPr>
            <w:r>
              <w:rPr>
                <w:spacing w:val="-4"/>
                <w:sz w:val="22"/>
              </w:rPr>
              <w:t>1,00</w:t>
            </w:r>
          </w:p>
        </w:tc>
      </w:tr>
      <w:tr>
        <w:trPr>
          <w:trHeight w:val="266" w:hRule="atLeast"/>
        </w:trPr>
        <w:tc>
          <w:tcPr>
            <w:tcW w:w="2640" w:type="dxa"/>
            <w:tcBorders>
              <w:top w:val="nil"/>
              <w:left w:val="nil"/>
            </w:tcBorders>
          </w:tcPr>
          <w:p>
            <w:pPr>
              <w:pStyle w:val="TableParagraph"/>
              <w:spacing w:line="246" w:lineRule="exact"/>
              <w:ind w:left="80"/>
              <w:rPr>
                <w:sz w:val="22"/>
              </w:rPr>
            </w:pPr>
            <w:r>
              <w:rPr>
                <w:sz w:val="22"/>
              </w:rPr>
              <w:t>Painel</w:t>
            </w:r>
            <w:r>
              <w:rPr>
                <w:spacing w:val="-4"/>
                <w:sz w:val="22"/>
              </w:rPr>
              <w:t> </w:t>
            </w:r>
            <w:r>
              <w:rPr>
                <w:sz w:val="22"/>
              </w:rPr>
              <w:t>TIC</w:t>
            </w:r>
            <w:r>
              <w:rPr>
                <w:spacing w:val="-5"/>
                <w:sz w:val="22"/>
              </w:rPr>
              <w:t> </w:t>
            </w:r>
            <w:r>
              <w:rPr>
                <w:sz w:val="22"/>
              </w:rPr>
              <w:t>COVID-</w:t>
            </w:r>
            <w:r>
              <w:rPr>
                <w:spacing w:val="-5"/>
                <w:sz w:val="22"/>
              </w:rPr>
              <w:t>19</w:t>
            </w:r>
          </w:p>
        </w:tc>
        <w:tc>
          <w:tcPr>
            <w:tcW w:w="1264" w:type="dxa"/>
            <w:tcBorders>
              <w:top w:val="nil"/>
            </w:tcBorders>
          </w:tcPr>
          <w:p>
            <w:pPr>
              <w:pStyle w:val="TableParagraph"/>
              <w:spacing w:line="246" w:lineRule="exact"/>
              <w:ind w:left="8"/>
              <w:jc w:val="center"/>
              <w:rPr>
                <w:sz w:val="22"/>
              </w:rPr>
            </w:pPr>
            <w:r>
              <w:rPr>
                <w:spacing w:val="-4"/>
                <w:sz w:val="22"/>
              </w:rPr>
              <w:t>0,05</w:t>
            </w:r>
          </w:p>
        </w:tc>
        <w:tc>
          <w:tcPr>
            <w:tcW w:w="1264" w:type="dxa"/>
            <w:tcBorders>
              <w:top w:val="nil"/>
            </w:tcBorders>
          </w:tcPr>
          <w:p>
            <w:pPr>
              <w:pStyle w:val="TableParagraph"/>
              <w:spacing w:line="246" w:lineRule="exact"/>
              <w:ind w:left="8" w:right="7"/>
              <w:jc w:val="center"/>
              <w:rPr>
                <w:sz w:val="22"/>
              </w:rPr>
            </w:pPr>
            <w:r>
              <w:rPr>
                <w:spacing w:val="-4"/>
                <w:sz w:val="22"/>
              </w:rPr>
              <w:t>0,95</w:t>
            </w:r>
          </w:p>
        </w:tc>
        <w:tc>
          <w:tcPr>
            <w:tcW w:w="1260" w:type="dxa"/>
            <w:tcBorders>
              <w:top w:val="nil"/>
            </w:tcBorders>
          </w:tcPr>
          <w:p>
            <w:pPr>
              <w:pStyle w:val="TableParagraph"/>
              <w:spacing w:line="246" w:lineRule="exact"/>
              <w:ind w:left="6"/>
              <w:jc w:val="center"/>
              <w:rPr>
                <w:sz w:val="22"/>
              </w:rPr>
            </w:pPr>
            <w:r>
              <w:rPr>
                <w:spacing w:val="-4"/>
                <w:sz w:val="22"/>
              </w:rPr>
              <w:t>0,99</w:t>
            </w:r>
          </w:p>
        </w:tc>
        <w:tc>
          <w:tcPr>
            <w:tcW w:w="1263" w:type="dxa"/>
            <w:tcBorders>
              <w:top w:val="nil"/>
            </w:tcBorders>
          </w:tcPr>
          <w:p>
            <w:pPr>
              <w:pStyle w:val="TableParagraph"/>
              <w:spacing w:line="246" w:lineRule="exact"/>
              <w:ind w:left="12"/>
              <w:jc w:val="center"/>
              <w:rPr>
                <w:sz w:val="22"/>
              </w:rPr>
            </w:pPr>
            <w:r>
              <w:rPr>
                <w:spacing w:val="-4"/>
                <w:sz w:val="22"/>
              </w:rPr>
              <w:t>0,94</w:t>
            </w:r>
          </w:p>
        </w:tc>
        <w:tc>
          <w:tcPr>
            <w:tcW w:w="1264" w:type="dxa"/>
            <w:tcBorders>
              <w:top w:val="nil"/>
            </w:tcBorders>
          </w:tcPr>
          <w:p>
            <w:pPr>
              <w:pStyle w:val="TableParagraph"/>
              <w:spacing w:line="246" w:lineRule="exact"/>
              <w:ind w:left="8" w:right="2"/>
              <w:jc w:val="center"/>
              <w:rPr>
                <w:sz w:val="22"/>
              </w:rPr>
            </w:pPr>
            <w:r>
              <w:rPr>
                <w:spacing w:val="-4"/>
                <w:sz w:val="22"/>
              </w:rPr>
              <w:t>1,00</w:t>
            </w:r>
          </w:p>
        </w:tc>
        <w:tc>
          <w:tcPr>
            <w:tcW w:w="1264" w:type="dxa"/>
            <w:tcBorders>
              <w:top w:val="nil"/>
              <w:right w:val="nil"/>
            </w:tcBorders>
          </w:tcPr>
          <w:p>
            <w:pPr>
              <w:pStyle w:val="TableParagraph"/>
              <w:spacing w:line="246" w:lineRule="exact"/>
              <w:ind w:left="2" w:right="1"/>
              <w:jc w:val="center"/>
              <w:rPr>
                <w:sz w:val="22"/>
              </w:rPr>
            </w:pPr>
            <w:r>
              <w:rPr>
                <w:spacing w:val="-4"/>
                <w:sz w:val="22"/>
              </w:rPr>
              <w:t>1,00</w:t>
            </w:r>
          </w:p>
        </w:tc>
      </w:tr>
    </w:tbl>
    <w:p>
      <w:pPr>
        <w:spacing w:before="0"/>
        <w:ind w:left="144" w:right="0" w:firstLine="0"/>
        <w:jc w:val="both"/>
        <w:rPr>
          <w:sz w:val="18"/>
        </w:rPr>
      </w:pPr>
      <w:r>
        <w:rPr>
          <w:sz w:val="18"/>
        </w:rPr>
        <w:t>Fonte:</w:t>
      </w:r>
      <w:r>
        <w:rPr>
          <w:spacing w:val="-3"/>
          <w:sz w:val="18"/>
        </w:rPr>
        <w:t> </w:t>
      </w:r>
      <w:r>
        <w:rPr>
          <w:sz w:val="18"/>
        </w:rPr>
        <w:t>CGI.br,</w:t>
      </w:r>
      <w:r>
        <w:rPr>
          <w:spacing w:val="-3"/>
          <w:sz w:val="18"/>
        </w:rPr>
        <w:t> </w:t>
      </w:r>
      <w:r>
        <w:rPr>
          <w:sz w:val="18"/>
        </w:rPr>
        <w:t>TIC</w:t>
      </w:r>
      <w:r>
        <w:rPr>
          <w:spacing w:val="-3"/>
          <w:sz w:val="18"/>
        </w:rPr>
        <w:t> </w:t>
      </w:r>
      <w:r>
        <w:rPr>
          <w:sz w:val="18"/>
        </w:rPr>
        <w:t>Domicílios</w:t>
      </w:r>
      <w:r>
        <w:rPr>
          <w:spacing w:val="-1"/>
          <w:sz w:val="18"/>
        </w:rPr>
        <w:t> </w:t>
      </w:r>
      <w:r>
        <w:rPr>
          <w:sz w:val="18"/>
        </w:rPr>
        <w:t>2019</w:t>
      </w:r>
      <w:r>
        <w:rPr>
          <w:spacing w:val="-2"/>
          <w:sz w:val="18"/>
        </w:rPr>
        <w:t> </w:t>
      </w:r>
      <w:r>
        <w:rPr>
          <w:sz w:val="18"/>
        </w:rPr>
        <w:t>(2020)</w:t>
      </w:r>
      <w:r>
        <w:rPr>
          <w:spacing w:val="-2"/>
          <w:sz w:val="18"/>
        </w:rPr>
        <w:t> </w:t>
      </w:r>
      <w:r>
        <w:rPr>
          <w:sz w:val="18"/>
        </w:rPr>
        <w:t>e</w:t>
      </w:r>
      <w:r>
        <w:rPr>
          <w:spacing w:val="-4"/>
          <w:sz w:val="18"/>
        </w:rPr>
        <w:t> </w:t>
      </w:r>
      <w:r>
        <w:rPr>
          <w:sz w:val="18"/>
        </w:rPr>
        <w:t>Painel</w:t>
      </w:r>
      <w:r>
        <w:rPr>
          <w:spacing w:val="1"/>
          <w:sz w:val="18"/>
        </w:rPr>
        <w:t> </w:t>
      </w:r>
      <w:r>
        <w:rPr>
          <w:sz w:val="18"/>
        </w:rPr>
        <w:t>TIC</w:t>
      </w:r>
      <w:r>
        <w:rPr>
          <w:spacing w:val="-2"/>
          <w:sz w:val="18"/>
        </w:rPr>
        <w:t> </w:t>
      </w:r>
      <w:r>
        <w:rPr>
          <w:sz w:val="18"/>
        </w:rPr>
        <w:t>COVID-19</w:t>
      </w:r>
      <w:r>
        <w:rPr>
          <w:spacing w:val="-1"/>
          <w:sz w:val="18"/>
        </w:rPr>
        <w:t> </w:t>
      </w:r>
      <w:r>
        <w:rPr>
          <w:spacing w:val="-2"/>
          <w:sz w:val="18"/>
        </w:rPr>
        <w:t>(2020).</w:t>
      </w:r>
    </w:p>
    <w:p>
      <w:pPr>
        <w:pStyle w:val="BodyText"/>
        <w:spacing w:before="17"/>
        <w:rPr>
          <w:sz w:val="18"/>
        </w:rPr>
      </w:pPr>
    </w:p>
    <w:p>
      <w:pPr>
        <w:spacing w:before="0"/>
        <w:ind w:left="144" w:right="0" w:firstLine="0"/>
        <w:jc w:val="both"/>
        <w:rPr>
          <w:i/>
          <w:sz w:val="22"/>
        </w:rPr>
      </w:pPr>
      <w:r>
        <w:rPr>
          <w:i/>
          <w:sz w:val="22"/>
          <w:u w:val="single"/>
        </w:rPr>
        <w:t>Passo</w:t>
      </w:r>
      <w:r>
        <w:rPr>
          <w:i/>
          <w:spacing w:val="-5"/>
          <w:sz w:val="22"/>
          <w:u w:val="single"/>
        </w:rPr>
        <w:t> </w:t>
      </w:r>
      <w:r>
        <w:rPr>
          <w:i/>
          <w:sz w:val="22"/>
          <w:u w:val="single"/>
        </w:rPr>
        <w:t>IV. Determinação de</w:t>
      </w:r>
      <w:r>
        <w:rPr>
          <w:i/>
          <w:spacing w:val="-2"/>
          <w:sz w:val="22"/>
          <w:u w:val="single"/>
        </w:rPr>
        <w:t> </w:t>
      </w:r>
      <w:r>
        <w:rPr>
          <w:i/>
          <w:sz w:val="22"/>
          <w:u w:val="single"/>
        </w:rPr>
        <w:t>população de</w:t>
      </w:r>
      <w:r>
        <w:rPr>
          <w:i/>
          <w:spacing w:val="-2"/>
          <w:sz w:val="22"/>
          <w:u w:val="single"/>
        </w:rPr>
        <w:t> </w:t>
      </w:r>
      <w:r>
        <w:rPr>
          <w:i/>
          <w:sz w:val="22"/>
          <w:u w:val="single"/>
        </w:rPr>
        <w:t>suporte</w:t>
      </w:r>
      <w:r>
        <w:rPr>
          <w:i/>
          <w:spacing w:val="-5"/>
          <w:sz w:val="22"/>
          <w:u w:val="single"/>
        </w:rPr>
        <w:t> </w:t>
      </w:r>
      <w:r>
        <w:rPr>
          <w:i/>
          <w:sz w:val="22"/>
          <w:u w:val="single"/>
        </w:rPr>
        <w:t>comum</w:t>
      </w:r>
      <w:r>
        <w:rPr>
          <w:i/>
          <w:spacing w:val="-1"/>
          <w:sz w:val="22"/>
          <w:u w:val="single"/>
        </w:rPr>
        <w:t> </w:t>
      </w:r>
      <w:r>
        <w:rPr>
          <w:i/>
          <w:sz w:val="22"/>
          <w:u w:val="single"/>
        </w:rPr>
        <w:t>das</w:t>
      </w:r>
      <w:r>
        <w:rPr>
          <w:i/>
          <w:spacing w:val="-2"/>
          <w:sz w:val="22"/>
          <w:u w:val="single"/>
        </w:rPr>
        <w:t> </w:t>
      </w:r>
      <w:r>
        <w:rPr>
          <w:i/>
          <w:sz w:val="22"/>
          <w:u w:val="single"/>
        </w:rPr>
        <w:t>pesquisas</w:t>
      </w:r>
      <w:r>
        <w:rPr>
          <w:i/>
          <w:spacing w:val="-5"/>
          <w:sz w:val="22"/>
          <w:u w:val="single"/>
        </w:rPr>
        <w:t> </w:t>
      </w:r>
      <w:r>
        <w:rPr>
          <w:i/>
          <w:sz w:val="22"/>
          <w:u w:val="single"/>
        </w:rPr>
        <w:t>TIC</w:t>
      </w:r>
      <w:r>
        <w:rPr>
          <w:i/>
          <w:spacing w:val="-3"/>
          <w:sz w:val="22"/>
          <w:u w:val="single"/>
        </w:rPr>
        <w:t> </w:t>
      </w:r>
      <w:r>
        <w:rPr>
          <w:i/>
          <w:sz w:val="22"/>
          <w:u w:val="single"/>
        </w:rPr>
        <w:t>Domicílios</w:t>
      </w:r>
      <w:r>
        <w:rPr>
          <w:i/>
          <w:spacing w:val="-6"/>
          <w:sz w:val="22"/>
          <w:u w:val="single"/>
        </w:rPr>
        <w:t> </w:t>
      </w:r>
      <w:r>
        <w:rPr>
          <w:i/>
          <w:sz w:val="22"/>
          <w:u w:val="single"/>
        </w:rPr>
        <w:t>2019</w:t>
      </w:r>
      <w:r>
        <w:rPr>
          <w:i/>
          <w:spacing w:val="-4"/>
          <w:sz w:val="22"/>
          <w:u w:val="single"/>
        </w:rPr>
        <w:t> </w:t>
      </w:r>
      <w:r>
        <w:rPr>
          <w:i/>
          <w:sz w:val="22"/>
          <w:u w:val="single"/>
        </w:rPr>
        <w:t>e</w:t>
      </w:r>
      <w:r>
        <w:rPr>
          <w:i/>
          <w:spacing w:val="-5"/>
          <w:sz w:val="22"/>
          <w:u w:val="single"/>
        </w:rPr>
        <w:t> </w:t>
      </w:r>
      <w:r>
        <w:rPr>
          <w:i/>
          <w:sz w:val="22"/>
          <w:u w:val="single"/>
        </w:rPr>
        <w:t>Painel</w:t>
      </w:r>
      <w:r>
        <w:rPr>
          <w:i/>
          <w:spacing w:val="-3"/>
          <w:sz w:val="22"/>
          <w:u w:val="single"/>
        </w:rPr>
        <w:t> </w:t>
      </w:r>
      <w:r>
        <w:rPr>
          <w:i/>
          <w:sz w:val="22"/>
          <w:u w:val="single"/>
        </w:rPr>
        <w:t>TIC</w:t>
      </w:r>
      <w:r>
        <w:rPr>
          <w:i/>
          <w:spacing w:val="-2"/>
          <w:sz w:val="22"/>
          <w:u w:val="single"/>
        </w:rPr>
        <w:t> </w:t>
      </w:r>
      <w:r>
        <w:rPr>
          <w:i/>
          <w:sz w:val="22"/>
          <w:u w:val="single"/>
        </w:rPr>
        <w:t>COVID-</w:t>
      </w:r>
      <w:r>
        <w:rPr>
          <w:i/>
          <w:spacing w:val="-5"/>
          <w:sz w:val="22"/>
          <w:u w:val="single"/>
        </w:rPr>
        <w:t>19</w:t>
      </w:r>
    </w:p>
    <w:p>
      <w:pPr>
        <w:pStyle w:val="BodyText"/>
        <w:spacing w:before="11"/>
        <w:rPr>
          <w:i/>
        </w:rPr>
      </w:pPr>
    </w:p>
    <w:p>
      <w:pPr>
        <w:pStyle w:val="BodyText"/>
        <w:spacing w:line="276" w:lineRule="auto"/>
        <w:ind w:left="144" w:right="134"/>
        <w:jc w:val="both"/>
      </w:pPr>
      <w:r>
        <w:rPr/>
        <w:t>Dado que as distribuições dos escores obtidos em ambas as pesquisas eram diferentes, optou-se por buscar identificar um recorte da amostra de usuários de Internet da TIC Domicílios 2019 que fosse mais parecido com o conjunto</w:t>
      </w:r>
      <w:r>
        <w:rPr>
          <w:spacing w:val="-3"/>
        </w:rPr>
        <w:t> </w:t>
      </w:r>
      <w:r>
        <w:rPr/>
        <w:t>de</w:t>
      </w:r>
      <w:r>
        <w:rPr>
          <w:spacing w:val="-1"/>
        </w:rPr>
        <w:t> </w:t>
      </w:r>
      <w:r>
        <w:rPr/>
        <w:t>respondentes</w:t>
      </w:r>
      <w:r>
        <w:rPr>
          <w:spacing w:val="-2"/>
        </w:rPr>
        <w:t> </w:t>
      </w:r>
      <w:r>
        <w:rPr/>
        <w:t>do Painel TIC COVID-19</w:t>
      </w:r>
      <w:r>
        <w:rPr>
          <w:spacing w:val="-3"/>
        </w:rPr>
        <w:t> </w:t>
      </w:r>
      <w:r>
        <w:rPr/>
        <w:t>em</w:t>
      </w:r>
      <w:r>
        <w:rPr>
          <w:spacing w:val="-3"/>
        </w:rPr>
        <w:t> </w:t>
      </w:r>
      <w:r>
        <w:rPr/>
        <w:t>sua terceira edição. A escolha</w:t>
      </w:r>
      <w:r>
        <w:rPr>
          <w:spacing w:val="-4"/>
        </w:rPr>
        <w:t> </w:t>
      </w:r>
      <w:r>
        <w:rPr/>
        <w:t>deste</w:t>
      </w:r>
      <w:r>
        <w:rPr>
          <w:spacing w:val="-1"/>
        </w:rPr>
        <w:t> </w:t>
      </w:r>
      <w:r>
        <w:rPr/>
        <w:t>recorte</w:t>
      </w:r>
      <w:r>
        <w:rPr>
          <w:spacing w:val="-5"/>
        </w:rPr>
        <w:t> </w:t>
      </w:r>
      <w:r>
        <w:rPr/>
        <w:t>levou em conta a observação das distribuições dos escores e a variabilidade em pesos que foram atribuídos aos respondentes do painel, em cada população recortada. Essa avaliação foi feita estimando-se os pesos dos respondentes segundo três opções de corte estudadas na primeira e segunda edições e procurando aproximar o corte do corte adotado na primeira edição da pesquisa Painel TIC COVID-19. Os cortes estudados foram:</w:t>
      </w:r>
    </w:p>
    <w:p>
      <w:pPr>
        <w:pStyle w:val="ListParagraph"/>
        <w:numPr>
          <w:ilvl w:val="0"/>
          <w:numId w:val="4"/>
        </w:numPr>
        <w:tabs>
          <w:tab w:pos="864" w:val="left" w:leader="none"/>
        </w:tabs>
        <w:spacing w:line="240" w:lineRule="auto" w:before="243" w:after="0"/>
        <w:ind w:left="864" w:right="0" w:hanging="472"/>
        <w:jc w:val="left"/>
        <w:rPr>
          <w:sz w:val="22"/>
        </w:rPr>
      </w:pPr>
      <w:r>
        <w:rPr>
          <w:sz w:val="22"/>
        </w:rPr>
        <w:t>Seleção</w:t>
      </w:r>
      <w:r>
        <w:rPr>
          <w:spacing w:val="-4"/>
          <w:sz w:val="22"/>
        </w:rPr>
        <w:t> </w:t>
      </w:r>
      <w:r>
        <w:rPr>
          <w:sz w:val="22"/>
        </w:rPr>
        <w:t>de</w:t>
      </w:r>
      <w:r>
        <w:rPr>
          <w:spacing w:val="-2"/>
          <w:sz w:val="22"/>
        </w:rPr>
        <w:t> </w:t>
      </w:r>
      <w:r>
        <w:rPr>
          <w:sz w:val="22"/>
        </w:rPr>
        <w:t>todos</w:t>
      </w:r>
      <w:r>
        <w:rPr>
          <w:spacing w:val="-3"/>
          <w:sz w:val="22"/>
        </w:rPr>
        <w:t> </w:t>
      </w:r>
      <w:r>
        <w:rPr>
          <w:sz w:val="22"/>
        </w:rPr>
        <w:t>os</w:t>
      </w:r>
      <w:r>
        <w:rPr>
          <w:spacing w:val="-3"/>
          <w:sz w:val="22"/>
        </w:rPr>
        <w:t> </w:t>
      </w:r>
      <w:r>
        <w:rPr>
          <w:sz w:val="22"/>
        </w:rPr>
        <w:t>respondentes</w:t>
      </w:r>
      <w:r>
        <w:rPr>
          <w:spacing w:val="-3"/>
          <w:sz w:val="22"/>
        </w:rPr>
        <w:t> </w:t>
      </w:r>
      <w:r>
        <w:rPr>
          <w:sz w:val="22"/>
        </w:rPr>
        <w:t>de</w:t>
      </w:r>
      <w:r>
        <w:rPr>
          <w:spacing w:val="-6"/>
          <w:sz w:val="22"/>
        </w:rPr>
        <w:t> </w:t>
      </w:r>
      <w:r>
        <w:rPr>
          <w:sz w:val="22"/>
        </w:rPr>
        <w:t>ambas</w:t>
      </w:r>
      <w:r>
        <w:rPr>
          <w:spacing w:val="-4"/>
          <w:sz w:val="22"/>
        </w:rPr>
        <w:t> </w:t>
      </w:r>
      <w:r>
        <w:rPr>
          <w:sz w:val="22"/>
        </w:rPr>
        <w:t>as</w:t>
      </w:r>
      <w:r>
        <w:rPr>
          <w:spacing w:val="-3"/>
          <w:sz w:val="22"/>
        </w:rPr>
        <w:t> </w:t>
      </w:r>
      <w:r>
        <w:rPr>
          <w:sz w:val="22"/>
        </w:rPr>
        <w:t>pesquisas,</w:t>
      </w:r>
      <w:r>
        <w:rPr>
          <w:spacing w:val="-3"/>
          <w:sz w:val="22"/>
        </w:rPr>
        <w:t> </w:t>
      </w:r>
      <w:r>
        <w:rPr>
          <w:sz w:val="22"/>
        </w:rPr>
        <w:t>sem</w:t>
      </w:r>
      <w:r>
        <w:rPr>
          <w:spacing w:val="-4"/>
          <w:sz w:val="22"/>
        </w:rPr>
        <w:t> </w:t>
      </w:r>
      <w:r>
        <w:rPr>
          <w:spacing w:val="-2"/>
          <w:sz w:val="22"/>
        </w:rPr>
        <w:t>recorte;</w:t>
      </w:r>
    </w:p>
    <w:p>
      <w:pPr>
        <w:pStyle w:val="ListParagraph"/>
        <w:numPr>
          <w:ilvl w:val="0"/>
          <w:numId w:val="4"/>
        </w:numPr>
        <w:tabs>
          <w:tab w:pos="864" w:val="left" w:leader="none"/>
        </w:tabs>
        <w:spacing w:line="261" w:lineRule="auto" w:before="19" w:after="0"/>
        <w:ind w:left="864" w:right="147" w:hanging="528"/>
        <w:jc w:val="left"/>
        <w:rPr>
          <w:sz w:val="22"/>
        </w:rPr>
      </w:pPr>
      <w:r>
        <w:rPr>
          <w:sz w:val="22"/>
        </w:rPr>
        <w:t>Seleção</w:t>
      </w:r>
      <w:r>
        <w:rPr>
          <w:spacing w:val="20"/>
          <w:sz w:val="22"/>
        </w:rPr>
        <w:t> </w:t>
      </w:r>
      <w:r>
        <w:rPr>
          <w:sz w:val="22"/>
        </w:rPr>
        <w:t>dos</w:t>
      </w:r>
      <w:r>
        <w:rPr>
          <w:spacing w:val="22"/>
          <w:sz w:val="22"/>
        </w:rPr>
        <w:t> </w:t>
      </w:r>
      <w:r>
        <w:rPr>
          <w:sz w:val="22"/>
        </w:rPr>
        <w:t>respondentes</w:t>
      </w:r>
      <w:r>
        <w:rPr>
          <w:spacing w:val="21"/>
          <w:sz w:val="22"/>
        </w:rPr>
        <w:t> </w:t>
      </w:r>
      <w:r>
        <w:rPr>
          <w:sz w:val="22"/>
        </w:rPr>
        <w:t>de ambas</w:t>
      </w:r>
      <w:r>
        <w:rPr>
          <w:spacing w:val="21"/>
          <w:sz w:val="22"/>
        </w:rPr>
        <w:t> </w:t>
      </w:r>
      <w:r>
        <w:rPr>
          <w:sz w:val="22"/>
        </w:rPr>
        <w:t>as</w:t>
      </w:r>
      <w:r>
        <w:rPr>
          <w:spacing w:val="21"/>
          <w:sz w:val="22"/>
        </w:rPr>
        <w:t> </w:t>
      </w:r>
      <w:r>
        <w:rPr>
          <w:sz w:val="22"/>
        </w:rPr>
        <w:t>pesquisas</w:t>
      </w:r>
      <w:r>
        <w:rPr>
          <w:spacing w:val="21"/>
          <w:sz w:val="22"/>
        </w:rPr>
        <w:t> </w:t>
      </w:r>
      <w:r>
        <w:rPr>
          <w:sz w:val="22"/>
        </w:rPr>
        <w:t>que têm</w:t>
      </w:r>
      <w:r>
        <w:rPr>
          <w:spacing w:val="20"/>
          <w:sz w:val="22"/>
        </w:rPr>
        <w:t> </w:t>
      </w:r>
      <w:r>
        <w:rPr>
          <w:sz w:val="22"/>
        </w:rPr>
        <w:t>escores</w:t>
      </w:r>
      <w:r>
        <w:rPr>
          <w:spacing w:val="21"/>
          <w:sz w:val="22"/>
        </w:rPr>
        <w:t> </w:t>
      </w:r>
      <w:r>
        <w:rPr>
          <w:sz w:val="22"/>
        </w:rPr>
        <w:t>de propensão</w:t>
      </w:r>
      <w:r>
        <w:rPr>
          <w:spacing w:val="20"/>
          <w:sz w:val="22"/>
        </w:rPr>
        <w:t> </w:t>
      </w:r>
      <w:r>
        <w:rPr>
          <w:sz w:val="22"/>
        </w:rPr>
        <w:t>maior</w:t>
      </w:r>
      <w:r>
        <w:rPr>
          <w:spacing w:val="22"/>
          <w:sz w:val="22"/>
        </w:rPr>
        <w:t> </w:t>
      </w:r>
      <w:r>
        <w:rPr>
          <w:sz w:val="22"/>
        </w:rPr>
        <w:t>ou</w:t>
      </w:r>
      <w:r>
        <w:rPr>
          <w:spacing w:val="20"/>
          <w:sz w:val="22"/>
        </w:rPr>
        <w:t> </w:t>
      </w:r>
      <w:r>
        <w:rPr>
          <w:sz w:val="22"/>
        </w:rPr>
        <w:t>igual</w:t>
      </w:r>
      <w:r>
        <w:rPr>
          <w:spacing w:val="21"/>
          <w:sz w:val="22"/>
        </w:rPr>
        <w:t> </w:t>
      </w:r>
      <w:r>
        <w:rPr>
          <w:sz w:val="22"/>
        </w:rPr>
        <w:t>a dois </w:t>
      </w:r>
      <w:r>
        <w:rPr>
          <w:spacing w:val="-2"/>
          <w:sz w:val="22"/>
        </w:rPr>
        <w:t>terços;</w:t>
      </w:r>
    </w:p>
    <w:p>
      <w:pPr>
        <w:pStyle w:val="ListParagraph"/>
        <w:spacing w:after="0" w:line="261" w:lineRule="auto"/>
        <w:jc w:val="left"/>
        <w:rPr>
          <w:sz w:val="22"/>
        </w:rPr>
        <w:sectPr>
          <w:pgSz w:w="11910" w:h="16840"/>
          <w:pgMar w:header="737" w:footer="1652" w:top="2180" w:bottom="1840" w:left="708" w:right="708"/>
        </w:sectPr>
      </w:pPr>
    </w:p>
    <w:p>
      <w:pPr>
        <w:pStyle w:val="BodyText"/>
      </w:pPr>
    </w:p>
    <w:p>
      <w:pPr>
        <w:pStyle w:val="BodyText"/>
        <w:spacing w:before="243"/>
      </w:pPr>
    </w:p>
    <w:p>
      <w:pPr>
        <w:pStyle w:val="ListParagraph"/>
        <w:numPr>
          <w:ilvl w:val="0"/>
          <w:numId w:val="4"/>
        </w:numPr>
        <w:tabs>
          <w:tab w:pos="864" w:val="left" w:leader="none"/>
        </w:tabs>
        <w:spacing w:line="261" w:lineRule="auto" w:before="0" w:after="0"/>
        <w:ind w:left="864" w:right="152" w:hanging="580"/>
        <w:jc w:val="left"/>
        <w:rPr>
          <w:sz w:val="22"/>
        </w:rPr>
      </w:pPr>
      <w:r>
        <w:rPr>
          <w:sz w:val="22"/>
        </w:rPr>
        <w:t>Seleção</w:t>
      </w:r>
      <w:r>
        <w:rPr>
          <w:spacing w:val="22"/>
          <w:sz w:val="22"/>
        </w:rPr>
        <w:t> </w:t>
      </w:r>
      <w:r>
        <w:rPr>
          <w:sz w:val="22"/>
        </w:rPr>
        <w:t>dos</w:t>
      </w:r>
      <w:r>
        <w:rPr>
          <w:spacing w:val="22"/>
          <w:sz w:val="22"/>
        </w:rPr>
        <w:t> </w:t>
      </w:r>
      <w:r>
        <w:rPr>
          <w:sz w:val="22"/>
        </w:rPr>
        <w:t>respondentes</w:t>
      </w:r>
      <w:r>
        <w:rPr>
          <w:spacing w:val="21"/>
          <w:sz w:val="22"/>
        </w:rPr>
        <w:t> </w:t>
      </w:r>
      <w:r>
        <w:rPr>
          <w:sz w:val="22"/>
        </w:rPr>
        <w:t>de</w:t>
      </w:r>
      <w:r>
        <w:rPr>
          <w:spacing w:val="22"/>
          <w:sz w:val="22"/>
        </w:rPr>
        <w:t> </w:t>
      </w:r>
      <w:r>
        <w:rPr>
          <w:sz w:val="22"/>
        </w:rPr>
        <w:t>ambas</w:t>
      </w:r>
      <w:r>
        <w:rPr>
          <w:spacing w:val="21"/>
          <w:sz w:val="22"/>
        </w:rPr>
        <w:t> </w:t>
      </w:r>
      <w:r>
        <w:rPr>
          <w:sz w:val="22"/>
        </w:rPr>
        <w:t>as</w:t>
      </w:r>
      <w:r>
        <w:rPr>
          <w:spacing w:val="24"/>
          <w:sz w:val="22"/>
        </w:rPr>
        <w:t> </w:t>
      </w:r>
      <w:r>
        <w:rPr>
          <w:sz w:val="22"/>
        </w:rPr>
        <w:t>pesquisas</w:t>
      </w:r>
      <w:r>
        <w:rPr>
          <w:spacing w:val="21"/>
          <w:sz w:val="22"/>
        </w:rPr>
        <w:t> </w:t>
      </w:r>
      <w:r>
        <w:rPr>
          <w:sz w:val="22"/>
        </w:rPr>
        <w:t>que têm</w:t>
      </w:r>
      <w:r>
        <w:rPr>
          <w:spacing w:val="23"/>
          <w:sz w:val="22"/>
        </w:rPr>
        <w:t> </w:t>
      </w:r>
      <w:r>
        <w:rPr>
          <w:sz w:val="22"/>
        </w:rPr>
        <w:t>escores</w:t>
      </w:r>
      <w:r>
        <w:rPr>
          <w:spacing w:val="21"/>
          <w:sz w:val="22"/>
        </w:rPr>
        <w:t> </w:t>
      </w:r>
      <w:r>
        <w:rPr>
          <w:sz w:val="22"/>
        </w:rPr>
        <w:t>de</w:t>
      </w:r>
      <w:r>
        <w:rPr>
          <w:spacing w:val="22"/>
          <w:sz w:val="22"/>
        </w:rPr>
        <w:t> </w:t>
      </w:r>
      <w:r>
        <w:rPr>
          <w:sz w:val="22"/>
        </w:rPr>
        <w:t>propensão</w:t>
      </w:r>
      <w:r>
        <w:rPr>
          <w:spacing w:val="22"/>
          <w:sz w:val="22"/>
        </w:rPr>
        <w:t> </w:t>
      </w:r>
      <w:r>
        <w:rPr>
          <w:sz w:val="22"/>
        </w:rPr>
        <w:t>maior</w:t>
      </w:r>
      <w:r>
        <w:rPr>
          <w:spacing w:val="22"/>
          <w:sz w:val="22"/>
        </w:rPr>
        <w:t> </w:t>
      </w:r>
      <w:r>
        <w:rPr>
          <w:sz w:val="22"/>
        </w:rPr>
        <w:t>ou</w:t>
      </w:r>
      <w:r>
        <w:rPr>
          <w:spacing w:val="20"/>
          <w:sz w:val="22"/>
        </w:rPr>
        <w:t> </w:t>
      </w:r>
      <w:r>
        <w:rPr>
          <w:sz w:val="22"/>
        </w:rPr>
        <w:t>igual</w:t>
      </w:r>
      <w:r>
        <w:rPr>
          <w:spacing w:val="21"/>
          <w:sz w:val="22"/>
        </w:rPr>
        <w:t> </w:t>
      </w:r>
      <w:r>
        <w:rPr>
          <w:sz w:val="22"/>
        </w:rPr>
        <w:t>a</w:t>
      </w:r>
      <w:r>
        <w:rPr>
          <w:spacing w:val="22"/>
          <w:sz w:val="22"/>
        </w:rPr>
        <w:t> </w:t>
      </w:r>
      <w:r>
        <w:rPr>
          <w:sz w:val="22"/>
        </w:rPr>
        <w:t>três </w:t>
      </w:r>
      <w:r>
        <w:rPr>
          <w:spacing w:val="-2"/>
          <w:sz w:val="22"/>
        </w:rPr>
        <w:t>quartos;</w:t>
      </w:r>
    </w:p>
    <w:p>
      <w:pPr>
        <w:pStyle w:val="ListParagraph"/>
        <w:numPr>
          <w:ilvl w:val="0"/>
          <w:numId w:val="4"/>
        </w:numPr>
        <w:tabs>
          <w:tab w:pos="864" w:val="left" w:leader="none"/>
        </w:tabs>
        <w:spacing w:line="261" w:lineRule="auto" w:before="0" w:after="0"/>
        <w:ind w:left="864" w:right="141" w:hanging="596"/>
        <w:jc w:val="left"/>
        <w:rPr>
          <w:sz w:val="22"/>
        </w:rPr>
      </w:pPr>
      <w:r>
        <w:rPr>
          <w:sz w:val="22"/>
        </w:rPr>
        <w:t>Seleção dos respondentes de ambas as pesquisas que têm escores de propensão maior ou igual a quatro </w:t>
      </w:r>
      <w:r>
        <w:rPr>
          <w:spacing w:val="-2"/>
          <w:sz w:val="22"/>
        </w:rPr>
        <w:t>quintos.</w:t>
      </w:r>
    </w:p>
    <w:p>
      <w:pPr>
        <w:pStyle w:val="BodyText"/>
        <w:spacing w:line="276" w:lineRule="auto" w:before="230"/>
        <w:ind w:left="144" w:right="139"/>
        <w:jc w:val="both"/>
      </w:pPr>
      <w:r>
        <w:rPr/>
        <w:t>Para cada uma das opções, foram estimados pseudo-pesos para os respondentes do Painel TIC COVID-19. A metodologia</w:t>
      </w:r>
      <w:r>
        <w:rPr>
          <w:spacing w:val="-5"/>
        </w:rPr>
        <w:t> </w:t>
      </w:r>
      <w:r>
        <w:rPr/>
        <w:t>para</w:t>
      </w:r>
      <w:r>
        <w:rPr>
          <w:spacing w:val="-2"/>
        </w:rPr>
        <w:t> </w:t>
      </w:r>
      <w:r>
        <w:rPr/>
        <w:t>a</w:t>
      </w:r>
      <w:r>
        <w:rPr>
          <w:spacing w:val="-2"/>
        </w:rPr>
        <w:t> </w:t>
      </w:r>
      <w:r>
        <w:rPr/>
        <w:t>estimação</w:t>
      </w:r>
      <w:r>
        <w:rPr>
          <w:spacing w:val="-1"/>
        </w:rPr>
        <w:t> </w:t>
      </w:r>
      <w:r>
        <w:rPr/>
        <w:t>dos pseudo-pesos</w:t>
      </w:r>
      <w:r>
        <w:rPr>
          <w:spacing w:val="-2"/>
        </w:rPr>
        <w:t> </w:t>
      </w:r>
      <w:r>
        <w:rPr/>
        <w:t>é</w:t>
      </w:r>
      <w:r>
        <w:rPr>
          <w:spacing w:val="-5"/>
        </w:rPr>
        <w:t> </w:t>
      </w:r>
      <w:r>
        <w:rPr/>
        <w:t>apresentada</w:t>
      </w:r>
      <w:r>
        <w:rPr>
          <w:spacing w:val="-5"/>
        </w:rPr>
        <w:t> </w:t>
      </w:r>
      <w:r>
        <w:rPr/>
        <w:t>na</w:t>
      </w:r>
      <w:r>
        <w:rPr>
          <w:spacing w:val="-1"/>
        </w:rPr>
        <w:t> </w:t>
      </w:r>
      <w:r>
        <w:rPr/>
        <w:t>próxima</w:t>
      </w:r>
      <w:r>
        <w:rPr>
          <w:spacing w:val="-5"/>
        </w:rPr>
        <w:t> </w:t>
      </w:r>
      <w:r>
        <w:rPr/>
        <w:t>seção.</w:t>
      </w:r>
      <w:r>
        <w:rPr>
          <w:spacing w:val="-4"/>
        </w:rPr>
        <w:t> </w:t>
      </w:r>
      <w:r>
        <w:rPr/>
        <w:t>As</w:t>
      </w:r>
      <w:r>
        <w:rPr>
          <w:spacing w:val="-2"/>
        </w:rPr>
        <w:t> </w:t>
      </w:r>
      <w:r>
        <w:rPr/>
        <w:t>Tabelas</w:t>
      </w:r>
      <w:r>
        <w:rPr>
          <w:spacing w:val="-3"/>
        </w:rPr>
        <w:t> </w:t>
      </w:r>
      <w:r>
        <w:rPr/>
        <w:t>3</w:t>
      </w:r>
      <w:r>
        <w:rPr>
          <w:spacing w:val="-4"/>
        </w:rPr>
        <w:t> </w:t>
      </w:r>
      <w:r>
        <w:rPr/>
        <w:t>e</w:t>
      </w:r>
      <w:r>
        <w:rPr>
          <w:spacing w:val="-5"/>
        </w:rPr>
        <w:t> </w:t>
      </w:r>
      <w:r>
        <w:rPr/>
        <w:t>4 apresentam</w:t>
      </w:r>
      <w:r>
        <w:rPr>
          <w:spacing w:val="-4"/>
        </w:rPr>
        <w:t> </w:t>
      </w:r>
      <w:r>
        <w:rPr/>
        <w:t>os </w:t>
      </w:r>
      <w:r>
        <w:rPr>
          <w:spacing w:val="-2"/>
        </w:rPr>
        <w:t>resultados.</w:t>
      </w:r>
    </w:p>
    <w:p>
      <w:pPr>
        <w:pStyle w:val="Heading2"/>
        <w:spacing w:line="268" w:lineRule="exact" w:before="241"/>
      </w:pPr>
      <w:r>
        <w:rPr/>
        <w:t>TABELA</w:t>
      </w:r>
      <w:r>
        <w:rPr>
          <w:spacing w:val="-8"/>
        </w:rPr>
        <w:t> </w:t>
      </w:r>
      <w:r>
        <w:rPr>
          <w:spacing w:val="-10"/>
        </w:rPr>
        <w:t>3</w:t>
      </w:r>
    </w:p>
    <w:p>
      <w:pPr>
        <w:spacing w:before="0"/>
        <w:ind w:left="144" w:right="131" w:firstLine="0"/>
        <w:jc w:val="left"/>
        <w:rPr>
          <w:b/>
          <w:sz w:val="22"/>
        </w:rPr>
      </w:pPr>
      <w:r>
        <w:rPr>
          <w:b/>
          <w:sz w:val="22"/>
        </w:rPr>
        <w:t>COMPARAÇÃO</w:t>
      </w:r>
      <w:r>
        <w:rPr>
          <w:b/>
          <w:spacing w:val="67"/>
          <w:sz w:val="22"/>
        </w:rPr>
        <w:t> </w:t>
      </w:r>
      <w:r>
        <w:rPr>
          <w:b/>
          <w:sz w:val="22"/>
        </w:rPr>
        <w:t>DA</w:t>
      </w:r>
      <w:r>
        <w:rPr>
          <w:b/>
          <w:spacing w:val="70"/>
          <w:sz w:val="22"/>
        </w:rPr>
        <w:t> </w:t>
      </w:r>
      <w:r>
        <w:rPr>
          <w:b/>
          <w:sz w:val="22"/>
        </w:rPr>
        <w:t>DISTRIBUIÇÃO</w:t>
      </w:r>
      <w:r>
        <w:rPr>
          <w:b/>
          <w:spacing w:val="67"/>
          <w:sz w:val="22"/>
        </w:rPr>
        <w:t> </w:t>
      </w:r>
      <w:r>
        <w:rPr>
          <w:b/>
          <w:sz w:val="22"/>
        </w:rPr>
        <w:t>DOS</w:t>
      </w:r>
      <w:r>
        <w:rPr>
          <w:b/>
          <w:spacing w:val="68"/>
          <w:sz w:val="22"/>
        </w:rPr>
        <w:t> </w:t>
      </w:r>
      <w:r>
        <w:rPr>
          <w:b/>
          <w:sz w:val="22"/>
        </w:rPr>
        <w:t>PESOS</w:t>
      </w:r>
      <w:r>
        <w:rPr>
          <w:b/>
          <w:spacing w:val="68"/>
          <w:sz w:val="22"/>
        </w:rPr>
        <w:t> </w:t>
      </w:r>
      <w:r>
        <w:rPr>
          <w:b/>
          <w:sz w:val="22"/>
        </w:rPr>
        <w:t>DOS</w:t>
      </w:r>
      <w:r>
        <w:rPr>
          <w:b/>
          <w:spacing w:val="68"/>
          <w:sz w:val="22"/>
        </w:rPr>
        <w:t> </w:t>
      </w:r>
      <w:r>
        <w:rPr>
          <w:b/>
          <w:sz w:val="22"/>
        </w:rPr>
        <w:t>RESPONDENTES</w:t>
      </w:r>
      <w:r>
        <w:rPr>
          <w:b/>
          <w:spacing w:val="72"/>
          <w:sz w:val="22"/>
        </w:rPr>
        <w:t> </w:t>
      </w:r>
      <w:r>
        <w:rPr>
          <w:b/>
          <w:sz w:val="22"/>
        </w:rPr>
        <w:t>DO</w:t>
      </w:r>
      <w:r>
        <w:rPr>
          <w:b/>
          <w:spacing w:val="67"/>
          <w:sz w:val="22"/>
        </w:rPr>
        <w:t> </w:t>
      </w:r>
      <w:r>
        <w:rPr>
          <w:b/>
          <w:sz w:val="22"/>
        </w:rPr>
        <w:t>PAINEL</w:t>
      </w:r>
      <w:r>
        <w:rPr>
          <w:b/>
          <w:spacing w:val="68"/>
          <w:sz w:val="22"/>
        </w:rPr>
        <w:t> </w:t>
      </w:r>
      <w:r>
        <w:rPr>
          <w:b/>
          <w:sz w:val="22"/>
        </w:rPr>
        <w:t>TIC</w:t>
      </w:r>
      <w:r>
        <w:rPr>
          <w:b/>
          <w:spacing w:val="71"/>
          <w:sz w:val="22"/>
        </w:rPr>
        <w:t> </w:t>
      </w:r>
      <w:r>
        <w:rPr>
          <w:b/>
          <w:sz w:val="22"/>
        </w:rPr>
        <w:t>COVID-19,</w:t>
      </w:r>
      <w:r>
        <w:rPr>
          <w:b/>
          <w:spacing w:val="67"/>
          <w:sz w:val="22"/>
        </w:rPr>
        <w:t> </w:t>
      </w:r>
      <w:r>
        <w:rPr>
          <w:b/>
          <w:sz w:val="22"/>
        </w:rPr>
        <w:t>SEGUNDO ALTERNATIVAS DE RECORTE DOS ESCORES DE PROPENSÃO</w:t>
      </w: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09"/>
        <w:gridCol w:w="993"/>
        <w:gridCol w:w="848"/>
        <w:gridCol w:w="997"/>
        <w:gridCol w:w="993"/>
        <w:gridCol w:w="993"/>
        <w:gridCol w:w="994"/>
      </w:tblGrid>
      <w:tr>
        <w:trPr>
          <w:trHeight w:val="358" w:hRule="atLeast"/>
        </w:trPr>
        <w:tc>
          <w:tcPr>
            <w:tcW w:w="4409" w:type="dxa"/>
            <w:tcBorders>
              <w:left w:val="nil"/>
            </w:tcBorders>
          </w:tcPr>
          <w:p>
            <w:pPr>
              <w:pStyle w:val="TableParagraph"/>
              <w:spacing w:before="45"/>
              <w:ind w:left="80"/>
              <w:rPr>
                <w:sz w:val="22"/>
              </w:rPr>
            </w:pPr>
            <w:r>
              <w:rPr>
                <w:sz w:val="22"/>
              </w:rPr>
              <w:t>Estatísticas</w:t>
            </w:r>
            <w:r>
              <w:rPr>
                <w:spacing w:val="-5"/>
                <w:sz w:val="22"/>
              </w:rPr>
              <w:t> </w:t>
            </w:r>
            <w:r>
              <w:rPr>
                <w:sz w:val="22"/>
              </w:rPr>
              <w:t>dos</w:t>
            </w:r>
            <w:r>
              <w:rPr>
                <w:spacing w:val="-4"/>
                <w:sz w:val="22"/>
              </w:rPr>
              <w:t> </w:t>
            </w:r>
            <w:r>
              <w:rPr>
                <w:sz w:val="22"/>
              </w:rPr>
              <w:t>pesos</w:t>
            </w:r>
            <w:r>
              <w:rPr>
                <w:spacing w:val="-4"/>
                <w:sz w:val="22"/>
              </w:rPr>
              <w:t> </w:t>
            </w:r>
            <w:r>
              <w:rPr>
                <w:spacing w:val="-2"/>
                <w:sz w:val="22"/>
              </w:rPr>
              <w:t>calibrados</w:t>
            </w:r>
          </w:p>
        </w:tc>
        <w:tc>
          <w:tcPr>
            <w:tcW w:w="993" w:type="dxa"/>
          </w:tcPr>
          <w:p>
            <w:pPr>
              <w:pStyle w:val="TableParagraph"/>
              <w:spacing w:before="45"/>
              <w:ind w:left="8" w:right="11"/>
              <w:jc w:val="center"/>
              <w:rPr>
                <w:sz w:val="22"/>
              </w:rPr>
            </w:pPr>
            <w:r>
              <w:rPr>
                <w:spacing w:val="-2"/>
                <w:sz w:val="22"/>
              </w:rPr>
              <w:t>Mínimo</w:t>
            </w:r>
          </w:p>
        </w:tc>
        <w:tc>
          <w:tcPr>
            <w:tcW w:w="848" w:type="dxa"/>
          </w:tcPr>
          <w:p>
            <w:pPr>
              <w:pStyle w:val="TableParagraph"/>
              <w:spacing w:before="45"/>
              <w:ind w:right="3"/>
              <w:jc w:val="center"/>
              <w:rPr>
                <w:sz w:val="22"/>
              </w:rPr>
            </w:pPr>
            <w:r>
              <w:rPr>
                <w:spacing w:val="-5"/>
                <w:sz w:val="22"/>
              </w:rPr>
              <w:t>Q1</w:t>
            </w:r>
          </w:p>
        </w:tc>
        <w:tc>
          <w:tcPr>
            <w:tcW w:w="997" w:type="dxa"/>
          </w:tcPr>
          <w:p>
            <w:pPr>
              <w:pStyle w:val="TableParagraph"/>
              <w:spacing w:before="45"/>
              <w:ind w:left="2" w:right="2"/>
              <w:jc w:val="center"/>
              <w:rPr>
                <w:sz w:val="22"/>
              </w:rPr>
            </w:pPr>
            <w:r>
              <w:rPr>
                <w:spacing w:val="-2"/>
                <w:sz w:val="22"/>
              </w:rPr>
              <w:t>Mediana</w:t>
            </w:r>
          </w:p>
        </w:tc>
        <w:tc>
          <w:tcPr>
            <w:tcW w:w="993" w:type="dxa"/>
          </w:tcPr>
          <w:p>
            <w:pPr>
              <w:pStyle w:val="TableParagraph"/>
              <w:spacing w:before="45"/>
              <w:ind w:left="4" w:right="11"/>
              <w:jc w:val="center"/>
              <w:rPr>
                <w:sz w:val="22"/>
              </w:rPr>
            </w:pPr>
            <w:r>
              <w:rPr>
                <w:spacing w:val="-2"/>
                <w:sz w:val="22"/>
              </w:rPr>
              <w:t>Média</w:t>
            </w:r>
          </w:p>
        </w:tc>
        <w:tc>
          <w:tcPr>
            <w:tcW w:w="993" w:type="dxa"/>
          </w:tcPr>
          <w:p>
            <w:pPr>
              <w:pStyle w:val="TableParagraph"/>
              <w:spacing w:before="45"/>
              <w:ind w:left="5" w:right="11"/>
              <w:jc w:val="center"/>
              <w:rPr>
                <w:sz w:val="22"/>
              </w:rPr>
            </w:pPr>
            <w:r>
              <w:rPr>
                <w:spacing w:val="-5"/>
                <w:sz w:val="22"/>
              </w:rPr>
              <w:t>Q3</w:t>
            </w:r>
          </w:p>
        </w:tc>
        <w:tc>
          <w:tcPr>
            <w:tcW w:w="994" w:type="dxa"/>
            <w:tcBorders>
              <w:right w:val="nil"/>
            </w:tcBorders>
          </w:tcPr>
          <w:p>
            <w:pPr>
              <w:pStyle w:val="TableParagraph"/>
              <w:spacing w:before="45"/>
              <w:ind w:left="2" w:right="17"/>
              <w:jc w:val="center"/>
              <w:rPr>
                <w:sz w:val="22"/>
              </w:rPr>
            </w:pPr>
            <w:r>
              <w:rPr>
                <w:spacing w:val="-2"/>
                <w:sz w:val="22"/>
              </w:rPr>
              <w:t>Máximo</w:t>
            </w:r>
          </w:p>
        </w:tc>
      </w:tr>
      <w:tr>
        <w:trPr>
          <w:trHeight w:val="373" w:hRule="atLeast"/>
        </w:trPr>
        <w:tc>
          <w:tcPr>
            <w:tcW w:w="4409" w:type="dxa"/>
            <w:tcBorders>
              <w:left w:val="nil"/>
              <w:bottom w:val="nil"/>
            </w:tcBorders>
          </w:tcPr>
          <w:p>
            <w:pPr>
              <w:pStyle w:val="TableParagraph"/>
              <w:spacing w:before="41"/>
              <w:ind w:left="80"/>
              <w:rPr>
                <w:sz w:val="22"/>
              </w:rPr>
            </w:pPr>
            <w:r>
              <w:rPr>
                <w:sz w:val="22"/>
              </w:rPr>
              <w:t>Sem</w:t>
            </w:r>
            <w:r>
              <w:rPr>
                <w:spacing w:val="-4"/>
                <w:sz w:val="22"/>
              </w:rPr>
              <w:t> </w:t>
            </w:r>
            <w:r>
              <w:rPr>
                <w:sz w:val="22"/>
              </w:rPr>
              <w:t>recorte</w:t>
            </w:r>
            <w:r>
              <w:rPr>
                <w:spacing w:val="-5"/>
                <w:sz w:val="22"/>
              </w:rPr>
              <w:t> </w:t>
            </w:r>
            <w:r>
              <w:rPr>
                <w:sz w:val="22"/>
              </w:rPr>
              <w:t>de </w:t>
            </w:r>
            <w:r>
              <w:rPr>
                <w:spacing w:val="-2"/>
                <w:sz w:val="22"/>
              </w:rPr>
              <w:t>escores</w:t>
            </w:r>
          </w:p>
        </w:tc>
        <w:tc>
          <w:tcPr>
            <w:tcW w:w="993" w:type="dxa"/>
            <w:tcBorders>
              <w:bottom w:val="nil"/>
            </w:tcBorders>
          </w:tcPr>
          <w:p>
            <w:pPr>
              <w:pStyle w:val="TableParagraph"/>
              <w:spacing w:before="41"/>
              <w:ind w:left="5" w:right="11"/>
              <w:jc w:val="center"/>
              <w:rPr>
                <w:sz w:val="22"/>
              </w:rPr>
            </w:pPr>
            <w:r>
              <w:rPr>
                <w:sz w:val="22"/>
              </w:rPr>
              <w:t>2</w:t>
            </w:r>
            <w:r>
              <w:rPr>
                <w:spacing w:val="-1"/>
                <w:sz w:val="22"/>
              </w:rPr>
              <w:t> </w:t>
            </w:r>
            <w:r>
              <w:rPr>
                <w:spacing w:val="-5"/>
                <w:sz w:val="22"/>
              </w:rPr>
              <w:t>368</w:t>
            </w:r>
          </w:p>
        </w:tc>
        <w:tc>
          <w:tcPr>
            <w:tcW w:w="848" w:type="dxa"/>
            <w:tcBorders>
              <w:bottom w:val="nil"/>
            </w:tcBorders>
          </w:tcPr>
          <w:p>
            <w:pPr>
              <w:pStyle w:val="TableParagraph"/>
              <w:spacing w:before="41"/>
              <w:ind w:left="3" w:right="3"/>
              <w:jc w:val="center"/>
              <w:rPr>
                <w:sz w:val="22"/>
              </w:rPr>
            </w:pPr>
            <w:r>
              <w:rPr>
                <w:sz w:val="22"/>
              </w:rPr>
              <w:t>13</w:t>
            </w:r>
            <w:r>
              <w:rPr>
                <w:spacing w:val="-2"/>
                <w:sz w:val="22"/>
              </w:rPr>
              <w:t> </w:t>
            </w:r>
            <w:r>
              <w:rPr>
                <w:spacing w:val="-5"/>
                <w:sz w:val="22"/>
              </w:rPr>
              <w:t>701</w:t>
            </w:r>
          </w:p>
        </w:tc>
        <w:tc>
          <w:tcPr>
            <w:tcW w:w="997" w:type="dxa"/>
            <w:tcBorders>
              <w:bottom w:val="nil"/>
            </w:tcBorders>
          </w:tcPr>
          <w:p>
            <w:pPr>
              <w:pStyle w:val="TableParagraph"/>
              <w:spacing w:before="41"/>
              <w:ind w:left="1" w:right="3"/>
              <w:jc w:val="center"/>
              <w:rPr>
                <w:sz w:val="22"/>
              </w:rPr>
            </w:pPr>
            <w:r>
              <w:rPr>
                <w:sz w:val="22"/>
              </w:rPr>
              <w:t>26</w:t>
            </w:r>
            <w:r>
              <w:rPr>
                <w:spacing w:val="-2"/>
                <w:sz w:val="22"/>
              </w:rPr>
              <w:t> </w:t>
            </w:r>
            <w:r>
              <w:rPr>
                <w:spacing w:val="-5"/>
                <w:sz w:val="22"/>
              </w:rPr>
              <w:t>806</w:t>
            </w:r>
          </w:p>
        </w:tc>
        <w:tc>
          <w:tcPr>
            <w:tcW w:w="993" w:type="dxa"/>
            <w:tcBorders>
              <w:bottom w:val="nil"/>
            </w:tcBorders>
          </w:tcPr>
          <w:p>
            <w:pPr>
              <w:pStyle w:val="TableParagraph"/>
              <w:spacing w:before="41"/>
              <w:ind w:left="3" w:right="11"/>
              <w:jc w:val="center"/>
              <w:rPr>
                <w:sz w:val="22"/>
              </w:rPr>
            </w:pPr>
            <w:r>
              <w:rPr>
                <w:sz w:val="22"/>
              </w:rPr>
              <w:t>46</w:t>
            </w:r>
            <w:r>
              <w:rPr>
                <w:spacing w:val="-2"/>
                <w:sz w:val="22"/>
              </w:rPr>
              <w:t> </w:t>
            </w:r>
            <w:r>
              <w:rPr>
                <w:spacing w:val="-5"/>
                <w:sz w:val="22"/>
              </w:rPr>
              <w:t>436</w:t>
            </w:r>
          </w:p>
        </w:tc>
        <w:tc>
          <w:tcPr>
            <w:tcW w:w="993" w:type="dxa"/>
            <w:tcBorders>
              <w:bottom w:val="nil"/>
            </w:tcBorders>
          </w:tcPr>
          <w:p>
            <w:pPr>
              <w:pStyle w:val="TableParagraph"/>
              <w:spacing w:before="41"/>
              <w:ind w:right="11"/>
              <w:jc w:val="center"/>
              <w:rPr>
                <w:sz w:val="22"/>
              </w:rPr>
            </w:pPr>
            <w:r>
              <w:rPr>
                <w:sz w:val="22"/>
              </w:rPr>
              <w:t>54</w:t>
            </w:r>
            <w:r>
              <w:rPr>
                <w:spacing w:val="-2"/>
                <w:sz w:val="22"/>
              </w:rPr>
              <w:t> </w:t>
            </w:r>
            <w:r>
              <w:rPr>
                <w:spacing w:val="-5"/>
                <w:sz w:val="22"/>
              </w:rPr>
              <w:t>727</w:t>
            </w:r>
          </w:p>
        </w:tc>
        <w:tc>
          <w:tcPr>
            <w:tcW w:w="994" w:type="dxa"/>
            <w:tcBorders>
              <w:bottom w:val="nil"/>
              <w:right w:val="nil"/>
            </w:tcBorders>
          </w:tcPr>
          <w:p>
            <w:pPr>
              <w:pStyle w:val="TableParagraph"/>
              <w:spacing w:before="41"/>
              <w:ind w:right="17"/>
              <w:jc w:val="center"/>
              <w:rPr>
                <w:sz w:val="22"/>
              </w:rPr>
            </w:pPr>
            <w:r>
              <w:rPr>
                <w:sz w:val="22"/>
              </w:rPr>
              <w:t>631</w:t>
            </w:r>
            <w:r>
              <w:rPr>
                <w:spacing w:val="-1"/>
                <w:sz w:val="22"/>
              </w:rPr>
              <w:t> </w:t>
            </w:r>
            <w:r>
              <w:rPr>
                <w:spacing w:val="-5"/>
                <w:sz w:val="22"/>
              </w:rPr>
              <w:t>441</w:t>
            </w:r>
          </w:p>
        </w:tc>
      </w:tr>
      <w:tr>
        <w:trPr>
          <w:trHeight w:val="355" w:hRule="atLeast"/>
        </w:trPr>
        <w:tc>
          <w:tcPr>
            <w:tcW w:w="4409" w:type="dxa"/>
            <w:tcBorders>
              <w:top w:val="nil"/>
              <w:left w:val="nil"/>
              <w:bottom w:val="nil"/>
            </w:tcBorders>
          </w:tcPr>
          <w:p>
            <w:pPr>
              <w:pStyle w:val="TableParagraph"/>
              <w:spacing w:before="23"/>
              <w:ind w:left="80"/>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1"/>
                <w:sz w:val="22"/>
              </w:rPr>
              <w:t> </w:t>
            </w:r>
            <w:r>
              <w:rPr>
                <w:spacing w:val="-5"/>
                <w:sz w:val="22"/>
              </w:rPr>
              <w:t>2/3</w:t>
            </w:r>
          </w:p>
        </w:tc>
        <w:tc>
          <w:tcPr>
            <w:tcW w:w="993" w:type="dxa"/>
            <w:tcBorders>
              <w:top w:val="nil"/>
              <w:bottom w:val="nil"/>
            </w:tcBorders>
          </w:tcPr>
          <w:p>
            <w:pPr>
              <w:pStyle w:val="TableParagraph"/>
              <w:spacing w:before="23"/>
              <w:ind w:left="5" w:right="11"/>
              <w:jc w:val="center"/>
              <w:rPr>
                <w:sz w:val="22"/>
              </w:rPr>
            </w:pPr>
            <w:r>
              <w:rPr>
                <w:sz w:val="22"/>
              </w:rPr>
              <w:t>1</w:t>
            </w:r>
            <w:r>
              <w:rPr>
                <w:spacing w:val="-1"/>
                <w:sz w:val="22"/>
              </w:rPr>
              <w:t> </w:t>
            </w:r>
            <w:r>
              <w:rPr>
                <w:spacing w:val="-5"/>
                <w:sz w:val="22"/>
              </w:rPr>
              <w:t>432</w:t>
            </w:r>
          </w:p>
        </w:tc>
        <w:tc>
          <w:tcPr>
            <w:tcW w:w="848" w:type="dxa"/>
            <w:tcBorders>
              <w:top w:val="nil"/>
              <w:bottom w:val="nil"/>
            </w:tcBorders>
          </w:tcPr>
          <w:p>
            <w:pPr>
              <w:pStyle w:val="TableParagraph"/>
              <w:spacing w:before="23"/>
              <w:ind w:left="3" w:right="3"/>
              <w:jc w:val="center"/>
              <w:rPr>
                <w:sz w:val="22"/>
              </w:rPr>
            </w:pPr>
            <w:r>
              <w:rPr>
                <w:sz w:val="22"/>
              </w:rPr>
              <w:t>16</w:t>
            </w:r>
            <w:r>
              <w:rPr>
                <w:spacing w:val="-2"/>
                <w:sz w:val="22"/>
              </w:rPr>
              <w:t> </w:t>
            </w:r>
            <w:r>
              <w:rPr>
                <w:spacing w:val="-5"/>
                <w:sz w:val="22"/>
              </w:rPr>
              <w:t>378</w:t>
            </w:r>
          </w:p>
        </w:tc>
        <w:tc>
          <w:tcPr>
            <w:tcW w:w="997" w:type="dxa"/>
            <w:tcBorders>
              <w:top w:val="nil"/>
              <w:bottom w:val="nil"/>
            </w:tcBorders>
          </w:tcPr>
          <w:p>
            <w:pPr>
              <w:pStyle w:val="TableParagraph"/>
              <w:spacing w:before="23"/>
              <w:ind w:left="1" w:right="3"/>
              <w:jc w:val="center"/>
              <w:rPr>
                <w:sz w:val="22"/>
              </w:rPr>
            </w:pPr>
            <w:r>
              <w:rPr>
                <w:sz w:val="22"/>
              </w:rPr>
              <w:t>26</w:t>
            </w:r>
            <w:r>
              <w:rPr>
                <w:spacing w:val="-2"/>
                <w:sz w:val="22"/>
              </w:rPr>
              <w:t> </w:t>
            </w:r>
            <w:r>
              <w:rPr>
                <w:spacing w:val="-5"/>
                <w:sz w:val="22"/>
              </w:rPr>
              <w:t>743</w:t>
            </w:r>
          </w:p>
        </w:tc>
        <w:tc>
          <w:tcPr>
            <w:tcW w:w="993" w:type="dxa"/>
            <w:tcBorders>
              <w:top w:val="nil"/>
              <w:bottom w:val="nil"/>
            </w:tcBorders>
          </w:tcPr>
          <w:p>
            <w:pPr>
              <w:pStyle w:val="TableParagraph"/>
              <w:spacing w:before="23"/>
              <w:ind w:left="3" w:right="11"/>
              <w:jc w:val="center"/>
              <w:rPr>
                <w:sz w:val="22"/>
              </w:rPr>
            </w:pPr>
            <w:r>
              <w:rPr>
                <w:sz w:val="22"/>
              </w:rPr>
              <w:t>41</w:t>
            </w:r>
            <w:r>
              <w:rPr>
                <w:spacing w:val="-2"/>
                <w:sz w:val="22"/>
              </w:rPr>
              <w:t> </w:t>
            </w:r>
            <w:r>
              <w:rPr>
                <w:spacing w:val="-5"/>
                <w:sz w:val="22"/>
              </w:rPr>
              <w:t>045</w:t>
            </w:r>
          </w:p>
        </w:tc>
        <w:tc>
          <w:tcPr>
            <w:tcW w:w="993" w:type="dxa"/>
            <w:tcBorders>
              <w:top w:val="nil"/>
              <w:bottom w:val="nil"/>
            </w:tcBorders>
          </w:tcPr>
          <w:p>
            <w:pPr>
              <w:pStyle w:val="TableParagraph"/>
              <w:spacing w:before="23"/>
              <w:ind w:right="11"/>
              <w:jc w:val="center"/>
              <w:rPr>
                <w:sz w:val="22"/>
              </w:rPr>
            </w:pPr>
            <w:r>
              <w:rPr>
                <w:sz w:val="22"/>
              </w:rPr>
              <w:t>46</w:t>
            </w:r>
            <w:r>
              <w:rPr>
                <w:spacing w:val="-2"/>
                <w:sz w:val="22"/>
              </w:rPr>
              <w:t> </w:t>
            </w:r>
            <w:r>
              <w:rPr>
                <w:spacing w:val="-5"/>
                <w:sz w:val="22"/>
              </w:rPr>
              <w:t>112</w:t>
            </w:r>
          </w:p>
        </w:tc>
        <w:tc>
          <w:tcPr>
            <w:tcW w:w="994" w:type="dxa"/>
            <w:tcBorders>
              <w:top w:val="nil"/>
              <w:bottom w:val="nil"/>
              <w:right w:val="nil"/>
            </w:tcBorders>
          </w:tcPr>
          <w:p>
            <w:pPr>
              <w:pStyle w:val="TableParagraph"/>
              <w:spacing w:before="23"/>
              <w:ind w:right="17"/>
              <w:jc w:val="center"/>
              <w:rPr>
                <w:sz w:val="22"/>
              </w:rPr>
            </w:pPr>
            <w:r>
              <w:rPr>
                <w:sz w:val="22"/>
              </w:rPr>
              <w:t>841</w:t>
            </w:r>
            <w:r>
              <w:rPr>
                <w:spacing w:val="-1"/>
                <w:sz w:val="22"/>
              </w:rPr>
              <w:t> </w:t>
            </w:r>
            <w:r>
              <w:rPr>
                <w:spacing w:val="-5"/>
                <w:sz w:val="22"/>
              </w:rPr>
              <w:t>457</w:t>
            </w:r>
          </w:p>
        </w:tc>
      </w:tr>
      <w:tr>
        <w:trPr>
          <w:trHeight w:val="356" w:hRule="atLeast"/>
        </w:trPr>
        <w:tc>
          <w:tcPr>
            <w:tcW w:w="4409" w:type="dxa"/>
            <w:tcBorders>
              <w:top w:val="nil"/>
              <w:left w:val="nil"/>
              <w:bottom w:val="nil"/>
            </w:tcBorders>
          </w:tcPr>
          <w:p>
            <w:pPr>
              <w:pStyle w:val="TableParagraph"/>
              <w:spacing w:before="23"/>
              <w:ind w:left="80"/>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1"/>
                <w:sz w:val="22"/>
              </w:rPr>
              <w:t> </w:t>
            </w:r>
            <w:r>
              <w:rPr>
                <w:spacing w:val="-5"/>
                <w:sz w:val="22"/>
              </w:rPr>
              <w:t>3/4</w:t>
            </w:r>
          </w:p>
        </w:tc>
        <w:tc>
          <w:tcPr>
            <w:tcW w:w="993" w:type="dxa"/>
            <w:tcBorders>
              <w:top w:val="nil"/>
              <w:bottom w:val="nil"/>
            </w:tcBorders>
          </w:tcPr>
          <w:p>
            <w:pPr>
              <w:pStyle w:val="TableParagraph"/>
              <w:spacing w:before="23"/>
              <w:ind w:left="5" w:right="11"/>
              <w:jc w:val="center"/>
              <w:rPr>
                <w:sz w:val="22"/>
              </w:rPr>
            </w:pPr>
            <w:r>
              <w:rPr>
                <w:sz w:val="22"/>
              </w:rPr>
              <w:t>1</w:t>
            </w:r>
            <w:r>
              <w:rPr>
                <w:spacing w:val="-1"/>
                <w:sz w:val="22"/>
              </w:rPr>
              <w:t> </w:t>
            </w:r>
            <w:r>
              <w:rPr>
                <w:spacing w:val="-5"/>
                <w:sz w:val="22"/>
              </w:rPr>
              <w:t>353</w:t>
            </w:r>
          </w:p>
        </w:tc>
        <w:tc>
          <w:tcPr>
            <w:tcW w:w="848" w:type="dxa"/>
            <w:tcBorders>
              <w:top w:val="nil"/>
              <w:bottom w:val="nil"/>
            </w:tcBorders>
          </w:tcPr>
          <w:p>
            <w:pPr>
              <w:pStyle w:val="TableParagraph"/>
              <w:spacing w:before="23"/>
              <w:ind w:left="3" w:right="3"/>
              <w:jc w:val="center"/>
              <w:rPr>
                <w:sz w:val="22"/>
              </w:rPr>
            </w:pPr>
            <w:r>
              <w:rPr>
                <w:sz w:val="22"/>
              </w:rPr>
              <w:t>16</w:t>
            </w:r>
            <w:r>
              <w:rPr>
                <w:spacing w:val="-2"/>
                <w:sz w:val="22"/>
              </w:rPr>
              <w:t> </w:t>
            </w:r>
            <w:r>
              <w:rPr>
                <w:spacing w:val="-5"/>
                <w:sz w:val="22"/>
              </w:rPr>
              <w:t>802</w:t>
            </w:r>
          </w:p>
        </w:tc>
        <w:tc>
          <w:tcPr>
            <w:tcW w:w="997" w:type="dxa"/>
            <w:tcBorders>
              <w:top w:val="nil"/>
              <w:bottom w:val="nil"/>
            </w:tcBorders>
          </w:tcPr>
          <w:p>
            <w:pPr>
              <w:pStyle w:val="TableParagraph"/>
              <w:spacing w:before="23"/>
              <w:ind w:left="1" w:right="3"/>
              <w:jc w:val="center"/>
              <w:rPr>
                <w:sz w:val="22"/>
              </w:rPr>
            </w:pPr>
            <w:r>
              <w:rPr>
                <w:sz w:val="22"/>
              </w:rPr>
              <w:t>25</w:t>
            </w:r>
            <w:r>
              <w:rPr>
                <w:spacing w:val="-2"/>
                <w:sz w:val="22"/>
              </w:rPr>
              <w:t> </w:t>
            </w:r>
            <w:r>
              <w:rPr>
                <w:spacing w:val="-5"/>
                <w:sz w:val="22"/>
              </w:rPr>
              <w:t>446</w:t>
            </w:r>
          </w:p>
        </w:tc>
        <w:tc>
          <w:tcPr>
            <w:tcW w:w="993" w:type="dxa"/>
            <w:tcBorders>
              <w:top w:val="nil"/>
              <w:bottom w:val="nil"/>
            </w:tcBorders>
          </w:tcPr>
          <w:p>
            <w:pPr>
              <w:pStyle w:val="TableParagraph"/>
              <w:spacing w:before="23"/>
              <w:ind w:left="3" w:right="11"/>
              <w:jc w:val="center"/>
              <w:rPr>
                <w:sz w:val="22"/>
              </w:rPr>
            </w:pPr>
            <w:r>
              <w:rPr>
                <w:sz w:val="22"/>
              </w:rPr>
              <w:t>39</w:t>
            </w:r>
            <w:r>
              <w:rPr>
                <w:spacing w:val="-2"/>
                <w:sz w:val="22"/>
              </w:rPr>
              <w:t> </w:t>
            </w:r>
            <w:r>
              <w:rPr>
                <w:spacing w:val="-5"/>
                <w:sz w:val="22"/>
              </w:rPr>
              <w:t>002</w:t>
            </w:r>
          </w:p>
        </w:tc>
        <w:tc>
          <w:tcPr>
            <w:tcW w:w="993" w:type="dxa"/>
            <w:tcBorders>
              <w:top w:val="nil"/>
              <w:bottom w:val="nil"/>
            </w:tcBorders>
          </w:tcPr>
          <w:p>
            <w:pPr>
              <w:pStyle w:val="TableParagraph"/>
              <w:spacing w:before="23"/>
              <w:ind w:right="11"/>
              <w:jc w:val="center"/>
              <w:rPr>
                <w:sz w:val="22"/>
              </w:rPr>
            </w:pPr>
            <w:r>
              <w:rPr>
                <w:sz w:val="22"/>
              </w:rPr>
              <w:t>43</w:t>
            </w:r>
            <w:r>
              <w:rPr>
                <w:spacing w:val="-2"/>
                <w:sz w:val="22"/>
              </w:rPr>
              <w:t> </w:t>
            </w:r>
            <w:r>
              <w:rPr>
                <w:spacing w:val="-5"/>
                <w:sz w:val="22"/>
              </w:rPr>
              <w:t>337</w:t>
            </w:r>
          </w:p>
        </w:tc>
        <w:tc>
          <w:tcPr>
            <w:tcW w:w="994" w:type="dxa"/>
            <w:tcBorders>
              <w:top w:val="nil"/>
              <w:bottom w:val="nil"/>
              <w:right w:val="nil"/>
            </w:tcBorders>
          </w:tcPr>
          <w:p>
            <w:pPr>
              <w:pStyle w:val="TableParagraph"/>
              <w:spacing w:before="23"/>
              <w:ind w:right="17"/>
              <w:jc w:val="center"/>
              <w:rPr>
                <w:sz w:val="22"/>
              </w:rPr>
            </w:pPr>
            <w:r>
              <w:rPr>
                <w:sz w:val="22"/>
              </w:rPr>
              <w:t>493</w:t>
            </w:r>
            <w:r>
              <w:rPr>
                <w:spacing w:val="-1"/>
                <w:sz w:val="22"/>
              </w:rPr>
              <w:t> </w:t>
            </w:r>
            <w:r>
              <w:rPr>
                <w:spacing w:val="-5"/>
                <w:sz w:val="22"/>
              </w:rPr>
              <w:t>910</w:t>
            </w:r>
          </w:p>
        </w:tc>
      </w:tr>
      <w:tr>
        <w:trPr>
          <w:trHeight w:val="340" w:hRule="atLeast"/>
        </w:trPr>
        <w:tc>
          <w:tcPr>
            <w:tcW w:w="4409" w:type="dxa"/>
            <w:tcBorders>
              <w:top w:val="nil"/>
              <w:left w:val="nil"/>
            </w:tcBorders>
          </w:tcPr>
          <w:p>
            <w:pPr>
              <w:pStyle w:val="TableParagraph"/>
              <w:spacing w:before="23"/>
              <w:ind w:left="80"/>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5"/>
                <w:sz w:val="22"/>
              </w:rPr>
              <w:t>4/5</w:t>
            </w:r>
          </w:p>
        </w:tc>
        <w:tc>
          <w:tcPr>
            <w:tcW w:w="993" w:type="dxa"/>
            <w:tcBorders>
              <w:top w:val="nil"/>
            </w:tcBorders>
          </w:tcPr>
          <w:p>
            <w:pPr>
              <w:pStyle w:val="TableParagraph"/>
              <w:spacing w:before="23"/>
              <w:ind w:left="5" w:right="11"/>
              <w:jc w:val="center"/>
              <w:rPr>
                <w:sz w:val="22"/>
              </w:rPr>
            </w:pPr>
            <w:r>
              <w:rPr>
                <w:sz w:val="22"/>
              </w:rPr>
              <w:t>2</w:t>
            </w:r>
            <w:r>
              <w:rPr>
                <w:spacing w:val="-1"/>
                <w:sz w:val="22"/>
              </w:rPr>
              <w:t> </w:t>
            </w:r>
            <w:r>
              <w:rPr>
                <w:spacing w:val="-5"/>
                <w:sz w:val="22"/>
              </w:rPr>
              <w:t>368</w:t>
            </w:r>
          </w:p>
        </w:tc>
        <w:tc>
          <w:tcPr>
            <w:tcW w:w="848" w:type="dxa"/>
            <w:tcBorders>
              <w:top w:val="nil"/>
            </w:tcBorders>
          </w:tcPr>
          <w:p>
            <w:pPr>
              <w:pStyle w:val="TableParagraph"/>
              <w:spacing w:before="23"/>
              <w:ind w:left="3" w:right="3"/>
              <w:jc w:val="center"/>
              <w:rPr>
                <w:sz w:val="22"/>
              </w:rPr>
            </w:pPr>
            <w:r>
              <w:rPr>
                <w:sz w:val="22"/>
              </w:rPr>
              <w:t>13</w:t>
            </w:r>
            <w:r>
              <w:rPr>
                <w:spacing w:val="-2"/>
                <w:sz w:val="22"/>
              </w:rPr>
              <w:t> </w:t>
            </w:r>
            <w:r>
              <w:rPr>
                <w:spacing w:val="-5"/>
                <w:sz w:val="22"/>
              </w:rPr>
              <w:t>701</w:t>
            </w:r>
          </w:p>
        </w:tc>
        <w:tc>
          <w:tcPr>
            <w:tcW w:w="997" w:type="dxa"/>
            <w:tcBorders>
              <w:top w:val="nil"/>
            </w:tcBorders>
          </w:tcPr>
          <w:p>
            <w:pPr>
              <w:pStyle w:val="TableParagraph"/>
              <w:spacing w:before="23"/>
              <w:ind w:left="1" w:right="3"/>
              <w:jc w:val="center"/>
              <w:rPr>
                <w:sz w:val="22"/>
              </w:rPr>
            </w:pPr>
            <w:r>
              <w:rPr>
                <w:sz w:val="22"/>
              </w:rPr>
              <w:t>26</w:t>
            </w:r>
            <w:r>
              <w:rPr>
                <w:spacing w:val="-2"/>
                <w:sz w:val="22"/>
              </w:rPr>
              <w:t> </w:t>
            </w:r>
            <w:r>
              <w:rPr>
                <w:spacing w:val="-5"/>
                <w:sz w:val="22"/>
              </w:rPr>
              <w:t>806</w:t>
            </w:r>
          </w:p>
        </w:tc>
        <w:tc>
          <w:tcPr>
            <w:tcW w:w="993" w:type="dxa"/>
            <w:tcBorders>
              <w:top w:val="nil"/>
            </w:tcBorders>
          </w:tcPr>
          <w:p>
            <w:pPr>
              <w:pStyle w:val="TableParagraph"/>
              <w:spacing w:before="23"/>
              <w:ind w:left="3" w:right="11"/>
              <w:jc w:val="center"/>
              <w:rPr>
                <w:sz w:val="22"/>
              </w:rPr>
            </w:pPr>
            <w:r>
              <w:rPr>
                <w:sz w:val="22"/>
              </w:rPr>
              <w:t>46</w:t>
            </w:r>
            <w:r>
              <w:rPr>
                <w:spacing w:val="-2"/>
                <w:sz w:val="22"/>
              </w:rPr>
              <w:t> </w:t>
            </w:r>
            <w:r>
              <w:rPr>
                <w:spacing w:val="-5"/>
                <w:sz w:val="22"/>
              </w:rPr>
              <w:t>436</w:t>
            </w:r>
          </w:p>
        </w:tc>
        <w:tc>
          <w:tcPr>
            <w:tcW w:w="993" w:type="dxa"/>
            <w:tcBorders>
              <w:top w:val="nil"/>
            </w:tcBorders>
          </w:tcPr>
          <w:p>
            <w:pPr>
              <w:pStyle w:val="TableParagraph"/>
              <w:spacing w:before="23"/>
              <w:ind w:right="11"/>
              <w:jc w:val="center"/>
              <w:rPr>
                <w:sz w:val="22"/>
              </w:rPr>
            </w:pPr>
            <w:r>
              <w:rPr>
                <w:sz w:val="22"/>
              </w:rPr>
              <w:t>54</w:t>
            </w:r>
            <w:r>
              <w:rPr>
                <w:spacing w:val="-2"/>
                <w:sz w:val="22"/>
              </w:rPr>
              <w:t> </w:t>
            </w:r>
            <w:r>
              <w:rPr>
                <w:spacing w:val="-5"/>
                <w:sz w:val="22"/>
              </w:rPr>
              <w:t>727</w:t>
            </w:r>
          </w:p>
        </w:tc>
        <w:tc>
          <w:tcPr>
            <w:tcW w:w="994" w:type="dxa"/>
            <w:tcBorders>
              <w:top w:val="nil"/>
              <w:right w:val="nil"/>
            </w:tcBorders>
          </w:tcPr>
          <w:p>
            <w:pPr>
              <w:pStyle w:val="TableParagraph"/>
              <w:spacing w:before="23"/>
              <w:ind w:right="17"/>
              <w:jc w:val="center"/>
              <w:rPr>
                <w:sz w:val="22"/>
              </w:rPr>
            </w:pPr>
            <w:r>
              <w:rPr>
                <w:sz w:val="22"/>
              </w:rPr>
              <w:t>631</w:t>
            </w:r>
            <w:r>
              <w:rPr>
                <w:spacing w:val="-1"/>
                <w:sz w:val="22"/>
              </w:rPr>
              <w:t> </w:t>
            </w:r>
            <w:r>
              <w:rPr>
                <w:spacing w:val="-5"/>
                <w:sz w:val="22"/>
              </w:rPr>
              <w:t>441</w:t>
            </w:r>
          </w:p>
        </w:tc>
      </w:tr>
    </w:tbl>
    <w:p>
      <w:pPr>
        <w:spacing w:before="1"/>
        <w:ind w:left="144" w:right="0" w:firstLine="0"/>
        <w:jc w:val="left"/>
        <w:rPr>
          <w:sz w:val="18"/>
        </w:rPr>
      </w:pPr>
      <w:r>
        <w:rPr>
          <w:sz w:val="18"/>
        </w:rPr>
        <w:t>Fonte:</w:t>
      </w:r>
      <w:r>
        <w:rPr>
          <w:spacing w:val="-2"/>
          <w:sz w:val="18"/>
        </w:rPr>
        <w:t> </w:t>
      </w:r>
      <w:r>
        <w:rPr>
          <w:sz w:val="18"/>
        </w:rPr>
        <w:t>CGI.br,</w:t>
      </w:r>
      <w:r>
        <w:rPr>
          <w:spacing w:val="-3"/>
          <w:sz w:val="18"/>
        </w:rPr>
        <w:t> </w:t>
      </w:r>
      <w:r>
        <w:rPr>
          <w:sz w:val="18"/>
        </w:rPr>
        <w:t>TIC</w:t>
      </w:r>
      <w:r>
        <w:rPr>
          <w:spacing w:val="-2"/>
          <w:sz w:val="18"/>
        </w:rPr>
        <w:t> </w:t>
      </w:r>
      <w:r>
        <w:rPr>
          <w:sz w:val="18"/>
        </w:rPr>
        <w:t>Domicílios</w:t>
      </w:r>
      <w:r>
        <w:rPr>
          <w:spacing w:val="-1"/>
          <w:sz w:val="18"/>
        </w:rPr>
        <w:t> </w:t>
      </w:r>
      <w:r>
        <w:rPr>
          <w:sz w:val="18"/>
        </w:rPr>
        <w:t>2019</w:t>
      </w:r>
      <w:r>
        <w:rPr>
          <w:spacing w:val="-2"/>
          <w:sz w:val="18"/>
        </w:rPr>
        <w:t> </w:t>
      </w:r>
      <w:r>
        <w:rPr>
          <w:sz w:val="18"/>
        </w:rPr>
        <w:t>(2020) e</w:t>
      </w:r>
      <w:r>
        <w:rPr>
          <w:spacing w:val="-4"/>
          <w:sz w:val="18"/>
        </w:rPr>
        <w:t> </w:t>
      </w:r>
      <w:r>
        <w:rPr>
          <w:sz w:val="18"/>
        </w:rPr>
        <w:t>Painel</w:t>
      </w:r>
      <w:r>
        <w:rPr>
          <w:spacing w:val="-4"/>
          <w:sz w:val="18"/>
        </w:rPr>
        <w:t> </w:t>
      </w:r>
      <w:r>
        <w:rPr>
          <w:sz w:val="18"/>
        </w:rPr>
        <w:t>TIC</w:t>
      </w:r>
      <w:r>
        <w:rPr>
          <w:spacing w:val="-2"/>
          <w:sz w:val="18"/>
        </w:rPr>
        <w:t> </w:t>
      </w:r>
      <w:r>
        <w:rPr>
          <w:sz w:val="18"/>
        </w:rPr>
        <w:t>COVID-19</w:t>
      </w:r>
      <w:r>
        <w:rPr>
          <w:spacing w:val="-1"/>
          <w:sz w:val="18"/>
        </w:rPr>
        <w:t> </w:t>
      </w:r>
      <w:r>
        <w:rPr>
          <w:spacing w:val="-2"/>
          <w:sz w:val="18"/>
        </w:rPr>
        <w:t>(2020).</w:t>
      </w:r>
    </w:p>
    <w:p>
      <w:pPr>
        <w:pStyle w:val="BodyText"/>
        <w:spacing w:before="18"/>
        <w:rPr>
          <w:sz w:val="18"/>
        </w:rPr>
      </w:pPr>
    </w:p>
    <w:p>
      <w:pPr>
        <w:pStyle w:val="Heading2"/>
        <w:spacing w:line="268" w:lineRule="exact"/>
      </w:pPr>
      <w:r>
        <w:rPr/>
        <w:t>TABELA</w:t>
      </w:r>
      <w:r>
        <w:rPr>
          <w:spacing w:val="-8"/>
        </w:rPr>
        <w:t> </w:t>
      </w:r>
      <w:r>
        <w:rPr>
          <w:spacing w:val="-10"/>
        </w:rPr>
        <w:t>4</w:t>
      </w:r>
    </w:p>
    <w:p>
      <w:pPr>
        <w:spacing w:before="0"/>
        <w:ind w:left="144" w:right="146" w:firstLine="0"/>
        <w:jc w:val="left"/>
        <w:rPr>
          <w:b/>
          <w:sz w:val="22"/>
        </w:rPr>
      </w:pPr>
      <w:r>
        <w:rPr>
          <w:b/>
          <w:sz w:val="22"/>
        </w:rPr>
        <w:t>COMPARAÇÃO</w:t>
      </w:r>
      <w:r>
        <w:rPr>
          <w:b/>
          <w:spacing w:val="-9"/>
          <w:sz w:val="22"/>
        </w:rPr>
        <w:t> </w:t>
      </w:r>
      <w:r>
        <w:rPr>
          <w:b/>
          <w:sz w:val="22"/>
        </w:rPr>
        <w:t>DA</w:t>
      </w:r>
      <w:r>
        <w:rPr>
          <w:b/>
          <w:spacing w:val="-10"/>
          <w:sz w:val="22"/>
        </w:rPr>
        <w:t> </w:t>
      </w:r>
      <w:r>
        <w:rPr>
          <w:b/>
          <w:sz w:val="22"/>
        </w:rPr>
        <w:t>DISTRIBUIÇÃO</w:t>
      </w:r>
      <w:r>
        <w:rPr>
          <w:b/>
          <w:spacing w:val="-13"/>
          <w:sz w:val="22"/>
        </w:rPr>
        <w:t> </w:t>
      </w:r>
      <w:r>
        <w:rPr>
          <w:b/>
          <w:sz w:val="22"/>
        </w:rPr>
        <w:t>DOS</w:t>
      </w:r>
      <w:r>
        <w:rPr>
          <w:b/>
          <w:spacing w:val="-11"/>
          <w:sz w:val="22"/>
        </w:rPr>
        <w:t> </w:t>
      </w:r>
      <w:r>
        <w:rPr>
          <w:b/>
          <w:sz w:val="22"/>
        </w:rPr>
        <w:t>FATORES</w:t>
      </w:r>
      <w:r>
        <w:rPr>
          <w:b/>
          <w:spacing w:val="-12"/>
          <w:sz w:val="22"/>
        </w:rPr>
        <w:t> </w:t>
      </w:r>
      <w:r>
        <w:rPr>
          <w:b/>
          <w:sz w:val="22"/>
        </w:rPr>
        <w:t>DE</w:t>
      </w:r>
      <w:r>
        <w:rPr>
          <w:b/>
          <w:spacing w:val="-11"/>
          <w:sz w:val="22"/>
        </w:rPr>
        <w:t> </w:t>
      </w:r>
      <w:r>
        <w:rPr>
          <w:b/>
          <w:sz w:val="22"/>
        </w:rPr>
        <w:t>CALIBRAÇÃO</w:t>
      </w:r>
      <w:r>
        <w:rPr>
          <w:b/>
          <w:spacing w:val="-9"/>
          <w:sz w:val="22"/>
        </w:rPr>
        <w:t> </w:t>
      </w:r>
      <w:r>
        <w:rPr>
          <w:b/>
          <w:sz w:val="22"/>
        </w:rPr>
        <w:t>DOS</w:t>
      </w:r>
      <w:r>
        <w:rPr>
          <w:b/>
          <w:spacing w:val="-8"/>
          <w:sz w:val="22"/>
        </w:rPr>
        <w:t> </w:t>
      </w:r>
      <w:r>
        <w:rPr>
          <w:b/>
          <w:sz w:val="22"/>
        </w:rPr>
        <w:t>PESOS</w:t>
      </w:r>
      <w:r>
        <w:rPr>
          <w:b/>
          <w:spacing w:val="-9"/>
          <w:sz w:val="22"/>
        </w:rPr>
        <w:t> </w:t>
      </w:r>
      <w:r>
        <w:rPr>
          <w:b/>
          <w:sz w:val="22"/>
        </w:rPr>
        <w:t>DOS</w:t>
      </w:r>
      <w:r>
        <w:rPr>
          <w:b/>
          <w:spacing w:val="-12"/>
          <w:sz w:val="22"/>
        </w:rPr>
        <w:t> </w:t>
      </w:r>
      <w:r>
        <w:rPr>
          <w:b/>
          <w:sz w:val="22"/>
        </w:rPr>
        <w:t>RESPONDENTES</w:t>
      </w:r>
      <w:r>
        <w:rPr>
          <w:b/>
          <w:spacing w:val="-12"/>
          <w:sz w:val="22"/>
        </w:rPr>
        <w:t> </w:t>
      </w:r>
      <w:r>
        <w:rPr>
          <w:b/>
          <w:sz w:val="22"/>
        </w:rPr>
        <w:t>DO</w:t>
      </w:r>
      <w:r>
        <w:rPr>
          <w:b/>
          <w:spacing w:val="-9"/>
          <w:sz w:val="22"/>
        </w:rPr>
        <w:t> </w:t>
      </w:r>
      <w:r>
        <w:rPr>
          <w:b/>
          <w:sz w:val="22"/>
        </w:rPr>
        <w:t>PAINEL</w:t>
      </w:r>
      <w:r>
        <w:rPr>
          <w:b/>
          <w:spacing w:val="-9"/>
          <w:sz w:val="22"/>
        </w:rPr>
        <w:t> </w:t>
      </w:r>
      <w:r>
        <w:rPr>
          <w:b/>
          <w:sz w:val="22"/>
        </w:rPr>
        <w:t>TIC COVID-19, SEGUNDO ALTERNATIVAS DE RECORTE DE ESCORES DE PROPENSÃO</w:t>
      </w: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09"/>
        <w:gridCol w:w="993"/>
        <w:gridCol w:w="848"/>
        <w:gridCol w:w="997"/>
        <w:gridCol w:w="993"/>
        <w:gridCol w:w="993"/>
        <w:gridCol w:w="994"/>
      </w:tblGrid>
      <w:tr>
        <w:trPr>
          <w:trHeight w:val="594" w:hRule="atLeast"/>
        </w:trPr>
        <w:tc>
          <w:tcPr>
            <w:tcW w:w="4409" w:type="dxa"/>
            <w:tcBorders>
              <w:left w:val="nil"/>
            </w:tcBorders>
          </w:tcPr>
          <w:p>
            <w:pPr>
              <w:pStyle w:val="TableParagraph"/>
              <w:spacing w:before="25"/>
              <w:ind w:left="80"/>
              <w:rPr>
                <w:sz w:val="22"/>
              </w:rPr>
            </w:pPr>
            <w:r>
              <w:rPr>
                <w:sz w:val="22"/>
              </w:rPr>
              <w:t>Estatísticas</w:t>
            </w:r>
            <w:r>
              <w:rPr>
                <w:spacing w:val="-8"/>
                <w:sz w:val="22"/>
              </w:rPr>
              <w:t> </w:t>
            </w:r>
            <w:r>
              <w:rPr>
                <w:sz w:val="22"/>
              </w:rPr>
              <w:t>de</w:t>
            </w:r>
            <w:r>
              <w:rPr>
                <w:spacing w:val="-5"/>
                <w:sz w:val="22"/>
              </w:rPr>
              <w:t> </w:t>
            </w:r>
            <w:r>
              <w:rPr>
                <w:spacing w:val="-4"/>
                <w:sz w:val="22"/>
              </w:rPr>
              <w:t>razão</w:t>
            </w:r>
          </w:p>
          <w:p>
            <w:pPr>
              <w:pStyle w:val="TableParagraph"/>
              <w:spacing w:before="4"/>
              <w:ind w:left="80"/>
              <w:rPr>
                <w:sz w:val="22"/>
              </w:rPr>
            </w:pPr>
            <w:r>
              <w:rPr>
                <w:sz w:val="22"/>
              </w:rPr>
              <w:t>(pesos</w:t>
            </w:r>
            <w:r>
              <w:rPr>
                <w:spacing w:val="-4"/>
                <w:sz w:val="22"/>
              </w:rPr>
              <w:t> </w:t>
            </w:r>
            <w:r>
              <w:rPr>
                <w:sz w:val="22"/>
              </w:rPr>
              <w:t>calibrados/pesos</w:t>
            </w:r>
            <w:r>
              <w:rPr>
                <w:spacing w:val="-4"/>
                <w:sz w:val="22"/>
              </w:rPr>
              <w:t> </w:t>
            </w:r>
            <w:r>
              <w:rPr>
                <w:spacing w:val="-2"/>
                <w:sz w:val="22"/>
              </w:rPr>
              <w:t>básicos)</w:t>
            </w:r>
          </w:p>
        </w:tc>
        <w:tc>
          <w:tcPr>
            <w:tcW w:w="993" w:type="dxa"/>
          </w:tcPr>
          <w:p>
            <w:pPr>
              <w:pStyle w:val="TableParagraph"/>
              <w:spacing w:before="161"/>
              <w:ind w:left="8" w:right="11"/>
              <w:jc w:val="center"/>
              <w:rPr>
                <w:sz w:val="22"/>
              </w:rPr>
            </w:pPr>
            <w:r>
              <w:rPr>
                <w:spacing w:val="-2"/>
                <w:sz w:val="22"/>
              </w:rPr>
              <w:t>Mínimo</w:t>
            </w:r>
          </w:p>
        </w:tc>
        <w:tc>
          <w:tcPr>
            <w:tcW w:w="848" w:type="dxa"/>
          </w:tcPr>
          <w:p>
            <w:pPr>
              <w:pStyle w:val="TableParagraph"/>
              <w:spacing w:before="161"/>
              <w:ind w:right="3"/>
              <w:jc w:val="center"/>
              <w:rPr>
                <w:sz w:val="22"/>
              </w:rPr>
            </w:pPr>
            <w:r>
              <w:rPr>
                <w:spacing w:val="-5"/>
                <w:sz w:val="22"/>
              </w:rPr>
              <w:t>Q1</w:t>
            </w:r>
          </w:p>
        </w:tc>
        <w:tc>
          <w:tcPr>
            <w:tcW w:w="997" w:type="dxa"/>
          </w:tcPr>
          <w:p>
            <w:pPr>
              <w:pStyle w:val="TableParagraph"/>
              <w:spacing w:before="161"/>
              <w:ind w:left="2" w:right="2"/>
              <w:jc w:val="center"/>
              <w:rPr>
                <w:sz w:val="22"/>
              </w:rPr>
            </w:pPr>
            <w:r>
              <w:rPr>
                <w:spacing w:val="-2"/>
                <w:sz w:val="22"/>
              </w:rPr>
              <w:t>Mediana</w:t>
            </w:r>
          </w:p>
        </w:tc>
        <w:tc>
          <w:tcPr>
            <w:tcW w:w="993" w:type="dxa"/>
          </w:tcPr>
          <w:p>
            <w:pPr>
              <w:pStyle w:val="TableParagraph"/>
              <w:spacing w:before="161"/>
              <w:ind w:left="4" w:right="11"/>
              <w:jc w:val="center"/>
              <w:rPr>
                <w:sz w:val="22"/>
              </w:rPr>
            </w:pPr>
            <w:r>
              <w:rPr>
                <w:spacing w:val="-2"/>
                <w:sz w:val="22"/>
              </w:rPr>
              <w:t>Média</w:t>
            </w:r>
          </w:p>
        </w:tc>
        <w:tc>
          <w:tcPr>
            <w:tcW w:w="993" w:type="dxa"/>
          </w:tcPr>
          <w:p>
            <w:pPr>
              <w:pStyle w:val="TableParagraph"/>
              <w:spacing w:before="161"/>
              <w:ind w:left="5" w:right="11"/>
              <w:jc w:val="center"/>
              <w:rPr>
                <w:sz w:val="22"/>
              </w:rPr>
            </w:pPr>
            <w:r>
              <w:rPr>
                <w:spacing w:val="-5"/>
                <w:sz w:val="22"/>
              </w:rPr>
              <w:t>Q3</w:t>
            </w:r>
          </w:p>
        </w:tc>
        <w:tc>
          <w:tcPr>
            <w:tcW w:w="994" w:type="dxa"/>
            <w:tcBorders>
              <w:right w:val="nil"/>
            </w:tcBorders>
          </w:tcPr>
          <w:p>
            <w:pPr>
              <w:pStyle w:val="TableParagraph"/>
              <w:spacing w:before="161"/>
              <w:ind w:left="2" w:right="17"/>
              <w:jc w:val="center"/>
              <w:rPr>
                <w:sz w:val="22"/>
              </w:rPr>
            </w:pPr>
            <w:r>
              <w:rPr>
                <w:spacing w:val="-2"/>
                <w:sz w:val="22"/>
              </w:rPr>
              <w:t>Máximo</w:t>
            </w:r>
          </w:p>
        </w:tc>
      </w:tr>
      <w:tr>
        <w:trPr>
          <w:trHeight w:val="374" w:hRule="atLeast"/>
        </w:trPr>
        <w:tc>
          <w:tcPr>
            <w:tcW w:w="4409" w:type="dxa"/>
            <w:tcBorders>
              <w:left w:val="nil"/>
              <w:bottom w:val="nil"/>
            </w:tcBorders>
          </w:tcPr>
          <w:p>
            <w:pPr>
              <w:pStyle w:val="TableParagraph"/>
              <w:spacing w:before="42"/>
              <w:ind w:left="80"/>
              <w:rPr>
                <w:sz w:val="22"/>
              </w:rPr>
            </w:pPr>
            <w:r>
              <w:rPr>
                <w:sz w:val="22"/>
              </w:rPr>
              <w:t>Sem</w:t>
            </w:r>
            <w:r>
              <w:rPr>
                <w:spacing w:val="-4"/>
                <w:sz w:val="22"/>
              </w:rPr>
              <w:t> </w:t>
            </w:r>
            <w:r>
              <w:rPr>
                <w:sz w:val="22"/>
              </w:rPr>
              <w:t>recorte</w:t>
            </w:r>
            <w:r>
              <w:rPr>
                <w:spacing w:val="-5"/>
                <w:sz w:val="22"/>
              </w:rPr>
              <w:t> </w:t>
            </w:r>
            <w:r>
              <w:rPr>
                <w:sz w:val="22"/>
              </w:rPr>
              <w:t>de </w:t>
            </w:r>
            <w:r>
              <w:rPr>
                <w:spacing w:val="-2"/>
                <w:sz w:val="22"/>
              </w:rPr>
              <w:t>escores</w:t>
            </w:r>
          </w:p>
        </w:tc>
        <w:tc>
          <w:tcPr>
            <w:tcW w:w="993" w:type="dxa"/>
            <w:tcBorders>
              <w:bottom w:val="nil"/>
            </w:tcBorders>
          </w:tcPr>
          <w:p>
            <w:pPr>
              <w:pStyle w:val="TableParagraph"/>
              <w:spacing w:before="42"/>
              <w:ind w:left="11" w:right="11"/>
              <w:jc w:val="center"/>
              <w:rPr>
                <w:sz w:val="22"/>
              </w:rPr>
            </w:pPr>
            <w:r>
              <w:rPr>
                <w:spacing w:val="-4"/>
                <w:sz w:val="22"/>
              </w:rPr>
              <w:t>0,122</w:t>
            </w:r>
          </w:p>
        </w:tc>
        <w:tc>
          <w:tcPr>
            <w:tcW w:w="848" w:type="dxa"/>
            <w:tcBorders>
              <w:bottom w:val="nil"/>
            </w:tcBorders>
          </w:tcPr>
          <w:p>
            <w:pPr>
              <w:pStyle w:val="TableParagraph"/>
              <w:spacing w:before="42"/>
              <w:ind w:left="2" w:right="3"/>
              <w:jc w:val="center"/>
              <w:rPr>
                <w:sz w:val="22"/>
              </w:rPr>
            </w:pPr>
            <w:r>
              <w:rPr>
                <w:spacing w:val="-4"/>
                <w:sz w:val="22"/>
              </w:rPr>
              <w:t>0,353</w:t>
            </w:r>
          </w:p>
        </w:tc>
        <w:tc>
          <w:tcPr>
            <w:tcW w:w="997" w:type="dxa"/>
            <w:tcBorders>
              <w:bottom w:val="nil"/>
            </w:tcBorders>
          </w:tcPr>
          <w:p>
            <w:pPr>
              <w:pStyle w:val="TableParagraph"/>
              <w:spacing w:before="42"/>
              <w:ind w:left="3" w:right="2"/>
              <w:jc w:val="center"/>
              <w:rPr>
                <w:sz w:val="22"/>
              </w:rPr>
            </w:pPr>
            <w:r>
              <w:rPr>
                <w:spacing w:val="-4"/>
                <w:sz w:val="22"/>
              </w:rPr>
              <w:t>0,503</w:t>
            </w:r>
          </w:p>
        </w:tc>
        <w:tc>
          <w:tcPr>
            <w:tcW w:w="993" w:type="dxa"/>
            <w:tcBorders>
              <w:bottom w:val="nil"/>
            </w:tcBorders>
          </w:tcPr>
          <w:p>
            <w:pPr>
              <w:pStyle w:val="TableParagraph"/>
              <w:spacing w:before="42"/>
              <w:ind w:left="9" w:right="11"/>
              <w:jc w:val="center"/>
              <w:rPr>
                <w:sz w:val="22"/>
              </w:rPr>
            </w:pPr>
            <w:r>
              <w:rPr>
                <w:spacing w:val="-4"/>
                <w:sz w:val="22"/>
              </w:rPr>
              <w:t>0,749</w:t>
            </w:r>
          </w:p>
        </w:tc>
        <w:tc>
          <w:tcPr>
            <w:tcW w:w="993" w:type="dxa"/>
            <w:tcBorders>
              <w:bottom w:val="nil"/>
            </w:tcBorders>
          </w:tcPr>
          <w:p>
            <w:pPr>
              <w:pStyle w:val="TableParagraph"/>
              <w:spacing w:before="42"/>
              <w:ind w:left="9" w:right="11"/>
              <w:jc w:val="center"/>
              <w:rPr>
                <w:sz w:val="22"/>
              </w:rPr>
            </w:pPr>
            <w:r>
              <w:rPr>
                <w:spacing w:val="-4"/>
                <w:sz w:val="22"/>
              </w:rPr>
              <w:t>0,853</w:t>
            </w:r>
          </w:p>
        </w:tc>
        <w:tc>
          <w:tcPr>
            <w:tcW w:w="994" w:type="dxa"/>
            <w:tcBorders>
              <w:bottom w:val="nil"/>
              <w:right w:val="nil"/>
            </w:tcBorders>
          </w:tcPr>
          <w:p>
            <w:pPr>
              <w:pStyle w:val="TableParagraph"/>
              <w:spacing w:before="42"/>
              <w:ind w:left="8" w:right="17"/>
              <w:jc w:val="center"/>
              <w:rPr>
                <w:sz w:val="22"/>
              </w:rPr>
            </w:pPr>
            <w:r>
              <w:rPr>
                <w:spacing w:val="-4"/>
                <w:sz w:val="22"/>
              </w:rPr>
              <w:t>7,139</w:t>
            </w:r>
          </w:p>
        </w:tc>
      </w:tr>
      <w:tr>
        <w:trPr>
          <w:trHeight w:val="355" w:hRule="atLeast"/>
        </w:trPr>
        <w:tc>
          <w:tcPr>
            <w:tcW w:w="4409" w:type="dxa"/>
            <w:tcBorders>
              <w:top w:val="nil"/>
              <w:left w:val="nil"/>
              <w:bottom w:val="nil"/>
            </w:tcBorders>
          </w:tcPr>
          <w:p>
            <w:pPr>
              <w:pStyle w:val="TableParagraph"/>
              <w:spacing w:before="23"/>
              <w:ind w:left="80"/>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5"/>
                <w:sz w:val="22"/>
              </w:rPr>
              <w:t>2/3</w:t>
            </w:r>
          </w:p>
        </w:tc>
        <w:tc>
          <w:tcPr>
            <w:tcW w:w="993" w:type="dxa"/>
            <w:tcBorders>
              <w:top w:val="nil"/>
              <w:bottom w:val="nil"/>
            </w:tcBorders>
          </w:tcPr>
          <w:p>
            <w:pPr>
              <w:pStyle w:val="TableParagraph"/>
              <w:spacing w:before="23"/>
              <w:ind w:left="11" w:right="11"/>
              <w:jc w:val="center"/>
              <w:rPr>
                <w:sz w:val="22"/>
              </w:rPr>
            </w:pPr>
            <w:r>
              <w:rPr>
                <w:spacing w:val="-4"/>
                <w:sz w:val="22"/>
              </w:rPr>
              <w:t>0,074</w:t>
            </w:r>
          </w:p>
        </w:tc>
        <w:tc>
          <w:tcPr>
            <w:tcW w:w="848" w:type="dxa"/>
            <w:tcBorders>
              <w:top w:val="nil"/>
              <w:bottom w:val="nil"/>
            </w:tcBorders>
          </w:tcPr>
          <w:p>
            <w:pPr>
              <w:pStyle w:val="TableParagraph"/>
              <w:spacing w:before="23"/>
              <w:ind w:left="2" w:right="3"/>
              <w:jc w:val="center"/>
              <w:rPr>
                <w:sz w:val="22"/>
              </w:rPr>
            </w:pPr>
            <w:r>
              <w:rPr>
                <w:spacing w:val="-4"/>
                <w:sz w:val="22"/>
              </w:rPr>
              <w:t>0,571</w:t>
            </w:r>
          </w:p>
        </w:tc>
        <w:tc>
          <w:tcPr>
            <w:tcW w:w="997" w:type="dxa"/>
            <w:tcBorders>
              <w:top w:val="nil"/>
              <w:bottom w:val="nil"/>
            </w:tcBorders>
          </w:tcPr>
          <w:p>
            <w:pPr>
              <w:pStyle w:val="TableParagraph"/>
              <w:spacing w:before="23"/>
              <w:ind w:left="3" w:right="2"/>
              <w:jc w:val="center"/>
              <w:rPr>
                <w:sz w:val="22"/>
              </w:rPr>
            </w:pPr>
            <w:r>
              <w:rPr>
                <w:spacing w:val="-4"/>
                <w:sz w:val="22"/>
              </w:rPr>
              <w:t>0,745</w:t>
            </w:r>
          </w:p>
        </w:tc>
        <w:tc>
          <w:tcPr>
            <w:tcW w:w="993" w:type="dxa"/>
            <w:tcBorders>
              <w:top w:val="nil"/>
              <w:bottom w:val="nil"/>
            </w:tcBorders>
          </w:tcPr>
          <w:p>
            <w:pPr>
              <w:pStyle w:val="TableParagraph"/>
              <w:spacing w:before="23"/>
              <w:ind w:left="9" w:right="11"/>
              <w:jc w:val="center"/>
              <w:rPr>
                <w:sz w:val="22"/>
              </w:rPr>
            </w:pPr>
            <w:r>
              <w:rPr>
                <w:spacing w:val="-4"/>
                <w:sz w:val="22"/>
              </w:rPr>
              <w:t>1,001</w:t>
            </w:r>
          </w:p>
        </w:tc>
        <w:tc>
          <w:tcPr>
            <w:tcW w:w="993" w:type="dxa"/>
            <w:tcBorders>
              <w:top w:val="nil"/>
              <w:bottom w:val="nil"/>
            </w:tcBorders>
          </w:tcPr>
          <w:p>
            <w:pPr>
              <w:pStyle w:val="TableParagraph"/>
              <w:spacing w:before="23"/>
              <w:ind w:left="9" w:right="11"/>
              <w:jc w:val="center"/>
              <w:rPr>
                <w:sz w:val="22"/>
              </w:rPr>
            </w:pPr>
            <w:r>
              <w:rPr>
                <w:spacing w:val="-4"/>
                <w:sz w:val="22"/>
              </w:rPr>
              <w:t>1,093</w:t>
            </w:r>
          </w:p>
        </w:tc>
        <w:tc>
          <w:tcPr>
            <w:tcW w:w="994" w:type="dxa"/>
            <w:tcBorders>
              <w:top w:val="nil"/>
              <w:bottom w:val="nil"/>
              <w:right w:val="nil"/>
            </w:tcBorders>
          </w:tcPr>
          <w:p>
            <w:pPr>
              <w:pStyle w:val="TableParagraph"/>
              <w:spacing w:before="23"/>
              <w:ind w:left="8" w:right="17"/>
              <w:jc w:val="center"/>
              <w:rPr>
                <w:sz w:val="22"/>
              </w:rPr>
            </w:pPr>
            <w:r>
              <w:rPr>
                <w:spacing w:val="-4"/>
                <w:sz w:val="22"/>
              </w:rPr>
              <w:t>8,903</w:t>
            </w:r>
          </w:p>
        </w:tc>
      </w:tr>
      <w:tr>
        <w:trPr>
          <w:trHeight w:val="355" w:hRule="atLeast"/>
        </w:trPr>
        <w:tc>
          <w:tcPr>
            <w:tcW w:w="4409" w:type="dxa"/>
            <w:tcBorders>
              <w:top w:val="nil"/>
              <w:left w:val="nil"/>
              <w:bottom w:val="nil"/>
            </w:tcBorders>
          </w:tcPr>
          <w:p>
            <w:pPr>
              <w:pStyle w:val="TableParagraph"/>
              <w:spacing w:before="23"/>
              <w:ind w:left="80"/>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1"/>
                <w:sz w:val="22"/>
              </w:rPr>
              <w:t> </w:t>
            </w:r>
            <w:r>
              <w:rPr>
                <w:spacing w:val="-5"/>
                <w:sz w:val="22"/>
              </w:rPr>
              <w:t>3/4</w:t>
            </w:r>
          </w:p>
        </w:tc>
        <w:tc>
          <w:tcPr>
            <w:tcW w:w="993" w:type="dxa"/>
            <w:tcBorders>
              <w:top w:val="nil"/>
              <w:bottom w:val="nil"/>
            </w:tcBorders>
          </w:tcPr>
          <w:p>
            <w:pPr>
              <w:pStyle w:val="TableParagraph"/>
              <w:spacing w:before="23"/>
              <w:ind w:left="11" w:right="11"/>
              <w:jc w:val="center"/>
              <w:rPr>
                <w:sz w:val="22"/>
              </w:rPr>
            </w:pPr>
            <w:r>
              <w:rPr>
                <w:spacing w:val="-4"/>
                <w:sz w:val="22"/>
              </w:rPr>
              <w:t>0,072</w:t>
            </w:r>
          </w:p>
        </w:tc>
        <w:tc>
          <w:tcPr>
            <w:tcW w:w="848" w:type="dxa"/>
            <w:tcBorders>
              <w:top w:val="nil"/>
              <w:bottom w:val="nil"/>
            </w:tcBorders>
          </w:tcPr>
          <w:p>
            <w:pPr>
              <w:pStyle w:val="TableParagraph"/>
              <w:spacing w:before="23"/>
              <w:ind w:left="2" w:right="3"/>
              <w:jc w:val="center"/>
              <w:rPr>
                <w:sz w:val="22"/>
              </w:rPr>
            </w:pPr>
            <w:r>
              <w:rPr>
                <w:spacing w:val="-4"/>
                <w:sz w:val="22"/>
              </w:rPr>
              <w:t>0,583</w:t>
            </w:r>
          </w:p>
        </w:tc>
        <w:tc>
          <w:tcPr>
            <w:tcW w:w="997" w:type="dxa"/>
            <w:tcBorders>
              <w:top w:val="nil"/>
              <w:bottom w:val="nil"/>
            </w:tcBorders>
          </w:tcPr>
          <w:p>
            <w:pPr>
              <w:pStyle w:val="TableParagraph"/>
              <w:spacing w:before="23"/>
              <w:ind w:left="3" w:right="2"/>
              <w:jc w:val="center"/>
              <w:rPr>
                <w:sz w:val="22"/>
              </w:rPr>
            </w:pPr>
            <w:r>
              <w:rPr>
                <w:spacing w:val="-4"/>
                <w:sz w:val="22"/>
              </w:rPr>
              <w:t>0,772</w:t>
            </w:r>
          </w:p>
        </w:tc>
        <w:tc>
          <w:tcPr>
            <w:tcW w:w="993" w:type="dxa"/>
            <w:tcBorders>
              <w:top w:val="nil"/>
              <w:bottom w:val="nil"/>
            </w:tcBorders>
          </w:tcPr>
          <w:p>
            <w:pPr>
              <w:pStyle w:val="TableParagraph"/>
              <w:spacing w:before="23"/>
              <w:ind w:left="9" w:right="11"/>
              <w:jc w:val="center"/>
              <w:rPr>
                <w:sz w:val="22"/>
              </w:rPr>
            </w:pPr>
            <w:r>
              <w:rPr>
                <w:spacing w:val="-4"/>
                <w:sz w:val="22"/>
              </w:rPr>
              <w:t>0,915</w:t>
            </w:r>
          </w:p>
        </w:tc>
        <w:tc>
          <w:tcPr>
            <w:tcW w:w="993" w:type="dxa"/>
            <w:tcBorders>
              <w:top w:val="nil"/>
              <w:bottom w:val="nil"/>
            </w:tcBorders>
          </w:tcPr>
          <w:p>
            <w:pPr>
              <w:pStyle w:val="TableParagraph"/>
              <w:spacing w:before="23"/>
              <w:ind w:left="9" w:right="11"/>
              <w:jc w:val="center"/>
              <w:rPr>
                <w:sz w:val="22"/>
              </w:rPr>
            </w:pPr>
            <w:r>
              <w:rPr>
                <w:spacing w:val="-4"/>
                <w:sz w:val="22"/>
              </w:rPr>
              <w:t>1,039</w:t>
            </w:r>
          </w:p>
        </w:tc>
        <w:tc>
          <w:tcPr>
            <w:tcW w:w="994" w:type="dxa"/>
            <w:tcBorders>
              <w:top w:val="nil"/>
              <w:bottom w:val="nil"/>
              <w:right w:val="nil"/>
            </w:tcBorders>
          </w:tcPr>
          <w:p>
            <w:pPr>
              <w:pStyle w:val="TableParagraph"/>
              <w:spacing w:before="23"/>
              <w:ind w:left="8" w:right="17"/>
              <w:jc w:val="center"/>
              <w:rPr>
                <w:sz w:val="22"/>
              </w:rPr>
            </w:pPr>
            <w:r>
              <w:rPr>
                <w:spacing w:val="-4"/>
                <w:sz w:val="22"/>
              </w:rPr>
              <w:t>6,492</w:t>
            </w:r>
          </w:p>
        </w:tc>
      </w:tr>
      <w:tr>
        <w:trPr>
          <w:trHeight w:val="340" w:hRule="atLeast"/>
        </w:trPr>
        <w:tc>
          <w:tcPr>
            <w:tcW w:w="4409" w:type="dxa"/>
            <w:tcBorders>
              <w:top w:val="nil"/>
              <w:left w:val="nil"/>
            </w:tcBorders>
          </w:tcPr>
          <w:p>
            <w:pPr>
              <w:pStyle w:val="TableParagraph"/>
              <w:spacing w:before="23"/>
              <w:ind w:left="80"/>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5"/>
                <w:sz w:val="22"/>
              </w:rPr>
              <w:t>4/5</w:t>
            </w:r>
          </w:p>
        </w:tc>
        <w:tc>
          <w:tcPr>
            <w:tcW w:w="993" w:type="dxa"/>
            <w:tcBorders>
              <w:top w:val="nil"/>
            </w:tcBorders>
          </w:tcPr>
          <w:p>
            <w:pPr>
              <w:pStyle w:val="TableParagraph"/>
              <w:spacing w:before="23"/>
              <w:ind w:left="11" w:right="11"/>
              <w:jc w:val="center"/>
              <w:rPr>
                <w:sz w:val="22"/>
              </w:rPr>
            </w:pPr>
            <w:r>
              <w:rPr>
                <w:spacing w:val="-4"/>
                <w:sz w:val="22"/>
              </w:rPr>
              <w:t>0,122</w:t>
            </w:r>
          </w:p>
        </w:tc>
        <w:tc>
          <w:tcPr>
            <w:tcW w:w="848" w:type="dxa"/>
            <w:tcBorders>
              <w:top w:val="nil"/>
            </w:tcBorders>
          </w:tcPr>
          <w:p>
            <w:pPr>
              <w:pStyle w:val="TableParagraph"/>
              <w:spacing w:before="23"/>
              <w:ind w:left="2" w:right="3"/>
              <w:jc w:val="center"/>
              <w:rPr>
                <w:sz w:val="22"/>
              </w:rPr>
            </w:pPr>
            <w:r>
              <w:rPr>
                <w:spacing w:val="-4"/>
                <w:sz w:val="22"/>
              </w:rPr>
              <w:t>0,353</w:t>
            </w:r>
          </w:p>
        </w:tc>
        <w:tc>
          <w:tcPr>
            <w:tcW w:w="997" w:type="dxa"/>
            <w:tcBorders>
              <w:top w:val="nil"/>
            </w:tcBorders>
          </w:tcPr>
          <w:p>
            <w:pPr>
              <w:pStyle w:val="TableParagraph"/>
              <w:spacing w:before="23"/>
              <w:ind w:left="3" w:right="2"/>
              <w:jc w:val="center"/>
              <w:rPr>
                <w:sz w:val="22"/>
              </w:rPr>
            </w:pPr>
            <w:r>
              <w:rPr>
                <w:spacing w:val="-4"/>
                <w:sz w:val="22"/>
              </w:rPr>
              <w:t>0,503</w:t>
            </w:r>
          </w:p>
        </w:tc>
        <w:tc>
          <w:tcPr>
            <w:tcW w:w="993" w:type="dxa"/>
            <w:tcBorders>
              <w:top w:val="nil"/>
            </w:tcBorders>
          </w:tcPr>
          <w:p>
            <w:pPr>
              <w:pStyle w:val="TableParagraph"/>
              <w:spacing w:before="23"/>
              <w:ind w:left="9" w:right="11"/>
              <w:jc w:val="center"/>
              <w:rPr>
                <w:sz w:val="22"/>
              </w:rPr>
            </w:pPr>
            <w:r>
              <w:rPr>
                <w:spacing w:val="-4"/>
                <w:sz w:val="22"/>
              </w:rPr>
              <w:t>0,749</w:t>
            </w:r>
          </w:p>
        </w:tc>
        <w:tc>
          <w:tcPr>
            <w:tcW w:w="993" w:type="dxa"/>
            <w:tcBorders>
              <w:top w:val="nil"/>
            </w:tcBorders>
          </w:tcPr>
          <w:p>
            <w:pPr>
              <w:pStyle w:val="TableParagraph"/>
              <w:spacing w:before="23"/>
              <w:ind w:left="9" w:right="11"/>
              <w:jc w:val="center"/>
              <w:rPr>
                <w:sz w:val="22"/>
              </w:rPr>
            </w:pPr>
            <w:r>
              <w:rPr>
                <w:spacing w:val="-4"/>
                <w:sz w:val="22"/>
              </w:rPr>
              <w:t>0,853</w:t>
            </w:r>
          </w:p>
        </w:tc>
        <w:tc>
          <w:tcPr>
            <w:tcW w:w="994" w:type="dxa"/>
            <w:tcBorders>
              <w:top w:val="nil"/>
              <w:right w:val="nil"/>
            </w:tcBorders>
          </w:tcPr>
          <w:p>
            <w:pPr>
              <w:pStyle w:val="TableParagraph"/>
              <w:spacing w:before="23"/>
              <w:ind w:left="8" w:right="17"/>
              <w:jc w:val="center"/>
              <w:rPr>
                <w:sz w:val="22"/>
              </w:rPr>
            </w:pPr>
            <w:r>
              <w:rPr>
                <w:spacing w:val="-4"/>
                <w:sz w:val="22"/>
              </w:rPr>
              <w:t>7,139</w:t>
            </w:r>
          </w:p>
        </w:tc>
      </w:tr>
    </w:tbl>
    <w:p>
      <w:pPr>
        <w:spacing w:before="1"/>
        <w:ind w:left="144" w:right="0" w:firstLine="0"/>
        <w:jc w:val="left"/>
        <w:rPr>
          <w:sz w:val="18"/>
        </w:rPr>
      </w:pPr>
      <w:r>
        <w:rPr>
          <w:sz w:val="18"/>
        </w:rPr>
        <w:t>Fonte:</w:t>
      </w:r>
      <w:r>
        <w:rPr>
          <w:spacing w:val="-2"/>
          <w:sz w:val="18"/>
        </w:rPr>
        <w:t> </w:t>
      </w:r>
      <w:r>
        <w:rPr>
          <w:sz w:val="18"/>
        </w:rPr>
        <w:t>CGI.br,</w:t>
      </w:r>
      <w:r>
        <w:rPr>
          <w:spacing w:val="-3"/>
          <w:sz w:val="18"/>
        </w:rPr>
        <w:t> </w:t>
      </w:r>
      <w:r>
        <w:rPr>
          <w:sz w:val="18"/>
        </w:rPr>
        <w:t>TIC</w:t>
      </w:r>
      <w:r>
        <w:rPr>
          <w:spacing w:val="-2"/>
          <w:sz w:val="18"/>
        </w:rPr>
        <w:t> </w:t>
      </w:r>
      <w:r>
        <w:rPr>
          <w:sz w:val="18"/>
        </w:rPr>
        <w:t>Domicílios</w:t>
      </w:r>
      <w:r>
        <w:rPr>
          <w:spacing w:val="-1"/>
          <w:sz w:val="18"/>
        </w:rPr>
        <w:t> </w:t>
      </w:r>
      <w:r>
        <w:rPr>
          <w:sz w:val="18"/>
        </w:rPr>
        <w:t>2019</w:t>
      </w:r>
      <w:r>
        <w:rPr>
          <w:spacing w:val="-2"/>
          <w:sz w:val="18"/>
        </w:rPr>
        <w:t> </w:t>
      </w:r>
      <w:r>
        <w:rPr>
          <w:sz w:val="18"/>
        </w:rPr>
        <w:t>(2020) e</w:t>
      </w:r>
      <w:r>
        <w:rPr>
          <w:spacing w:val="-4"/>
          <w:sz w:val="18"/>
        </w:rPr>
        <w:t> </w:t>
      </w:r>
      <w:r>
        <w:rPr>
          <w:sz w:val="18"/>
        </w:rPr>
        <w:t>Painel</w:t>
      </w:r>
      <w:r>
        <w:rPr>
          <w:spacing w:val="-4"/>
          <w:sz w:val="18"/>
        </w:rPr>
        <w:t> </w:t>
      </w:r>
      <w:r>
        <w:rPr>
          <w:sz w:val="18"/>
        </w:rPr>
        <w:t>TIC</w:t>
      </w:r>
      <w:r>
        <w:rPr>
          <w:spacing w:val="-2"/>
          <w:sz w:val="18"/>
        </w:rPr>
        <w:t> </w:t>
      </w:r>
      <w:r>
        <w:rPr>
          <w:sz w:val="18"/>
        </w:rPr>
        <w:t>COVID-19</w:t>
      </w:r>
      <w:r>
        <w:rPr>
          <w:spacing w:val="-1"/>
          <w:sz w:val="18"/>
        </w:rPr>
        <w:t> </w:t>
      </w:r>
      <w:r>
        <w:rPr>
          <w:spacing w:val="-2"/>
          <w:sz w:val="18"/>
        </w:rPr>
        <w:t>(2020).</w:t>
      </w:r>
    </w:p>
    <w:p>
      <w:pPr>
        <w:pStyle w:val="BodyText"/>
        <w:spacing w:before="18"/>
        <w:rPr>
          <w:sz w:val="18"/>
        </w:rPr>
      </w:pPr>
    </w:p>
    <w:p>
      <w:pPr>
        <w:pStyle w:val="BodyText"/>
        <w:spacing w:line="276" w:lineRule="auto"/>
        <w:ind w:left="144" w:right="140"/>
        <w:jc w:val="both"/>
      </w:pPr>
      <w:r>
        <w:rPr/>
        <w:t>Os recortes considerados indicam uma grande variabilidade nos pesos. Nessa edição do painel a opção que se mostrou a mais adequada voltou a ser o mesmo recorte da primeira edição: dois terços. Os fatores de calibração (razão entre os pesos calibrados e os pesos básicos) têm média 1 e 75% dos fatores de ajuste estão entre 0,57 e 1,1. O recorte de dois terços estabelece uma população com os totais estimados idênticos aos estabelecidos na primeira edição do painel (apresentados na Tabela 5). Considerando esse recorte, 2.465 respondentes do Painel TIC COVID-19 foram utilizados na estimação dos indicadores de interesse.</w:t>
      </w:r>
    </w:p>
    <w:p>
      <w:pPr>
        <w:pStyle w:val="BodyText"/>
        <w:spacing w:after="0" w:line="276" w:lineRule="auto"/>
        <w:jc w:val="both"/>
        <w:sectPr>
          <w:pgSz w:w="11910" w:h="16840"/>
          <w:pgMar w:header="737" w:footer="1652" w:top="2180" w:bottom="1840" w:left="708" w:right="708"/>
        </w:sectPr>
      </w:pPr>
    </w:p>
    <w:p>
      <w:pPr>
        <w:pStyle w:val="BodyText"/>
      </w:pPr>
    </w:p>
    <w:p>
      <w:pPr>
        <w:pStyle w:val="BodyText"/>
        <w:spacing w:before="243"/>
      </w:pPr>
    </w:p>
    <w:p>
      <w:pPr>
        <w:pStyle w:val="Heading2"/>
      </w:pPr>
      <w:r>
        <w:rPr/>
        <w:t>TABELA</w:t>
      </w:r>
      <w:r>
        <w:rPr>
          <w:spacing w:val="-8"/>
        </w:rPr>
        <w:t> </w:t>
      </w:r>
      <w:r>
        <w:rPr>
          <w:spacing w:val="-10"/>
        </w:rPr>
        <w:t>5</w:t>
      </w:r>
    </w:p>
    <w:p>
      <w:pPr>
        <w:spacing w:line="242" w:lineRule="auto" w:before="0"/>
        <w:ind w:left="144" w:right="131" w:firstLine="0"/>
        <w:jc w:val="left"/>
        <w:rPr>
          <w:b/>
          <w:sz w:val="22"/>
        </w:rPr>
      </w:pPr>
      <w:r>
        <w:rPr>
          <w:b/>
          <w:sz w:val="22"/>
        </w:rPr>
        <w:t>ESTIMATIVAS</w:t>
      </w:r>
      <w:r>
        <w:rPr>
          <w:b/>
          <w:spacing w:val="-13"/>
          <w:sz w:val="22"/>
        </w:rPr>
        <w:t> </w:t>
      </w:r>
      <w:r>
        <w:rPr>
          <w:b/>
          <w:sz w:val="22"/>
        </w:rPr>
        <w:t>DAS</w:t>
      </w:r>
      <w:r>
        <w:rPr>
          <w:b/>
          <w:spacing w:val="-12"/>
          <w:sz w:val="22"/>
        </w:rPr>
        <w:t> </w:t>
      </w:r>
      <w:r>
        <w:rPr>
          <w:b/>
          <w:sz w:val="22"/>
        </w:rPr>
        <w:t>POPULAÇÕES</w:t>
      </w:r>
      <w:r>
        <w:rPr>
          <w:b/>
          <w:spacing w:val="-13"/>
          <w:sz w:val="22"/>
        </w:rPr>
        <w:t> </w:t>
      </w:r>
      <w:r>
        <w:rPr>
          <w:b/>
          <w:sz w:val="22"/>
        </w:rPr>
        <w:t>DE</w:t>
      </w:r>
      <w:r>
        <w:rPr>
          <w:b/>
          <w:spacing w:val="-12"/>
          <w:sz w:val="22"/>
        </w:rPr>
        <w:t> </w:t>
      </w:r>
      <w:r>
        <w:rPr>
          <w:b/>
          <w:sz w:val="22"/>
        </w:rPr>
        <w:t>INDIVÍDUOS</w:t>
      </w:r>
      <w:r>
        <w:rPr>
          <w:b/>
          <w:spacing w:val="-13"/>
          <w:sz w:val="22"/>
        </w:rPr>
        <w:t> </w:t>
      </w:r>
      <w:r>
        <w:rPr>
          <w:b/>
          <w:sz w:val="22"/>
        </w:rPr>
        <w:t>USUÁRIOS</w:t>
      </w:r>
      <w:r>
        <w:rPr>
          <w:b/>
          <w:spacing w:val="-12"/>
          <w:sz w:val="22"/>
        </w:rPr>
        <w:t> </w:t>
      </w:r>
      <w:r>
        <w:rPr>
          <w:b/>
          <w:sz w:val="22"/>
        </w:rPr>
        <w:t>DE</w:t>
      </w:r>
      <w:r>
        <w:rPr>
          <w:b/>
          <w:spacing w:val="-13"/>
          <w:sz w:val="22"/>
        </w:rPr>
        <w:t> </w:t>
      </w:r>
      <w:r>
        <w:rPr>
          <w:b/>
          <w:sz w:val="22"/>
        </w:rPr>
        <w:t>INTERNET</w:t>
      </w:r>
      <w:r>
        <w:rPr>
          <w:b/>
          <w:spacing w:val="-12"/>
          <w:sz w:val="22"/>
        </w:rPr>
        <w:t> </w:t>
      </w:r>
      <w:r>
        <w:rPr>
          <w:b/>
          <w:sz w:val="22"/>
        </w:rPr>
        <w:t>DE</w:t>
      </w:r>
      <w:r>
        <w:rPr>
          <w:b/>
          <w:spacing w:val="-12"/>
          <w:sz w:val="22"/>
        </w:rPr>
        <w:t> </w:t>
      </w:r>
      <w:r>
        <w:rPr>
          <w:b/>
          <w:sz w:val="22"/>
        </w:rPr>
        <w:t>16</w:t>
      </w:r>
      <w:r>
        <w:rPr>
          <w:b/>
          <w:spacing w:val="-12"/>
          <w:sz w:val="22"/>
        </w:rPr>
        <w:t> </w:t>
      </w:r>
      <w:r>
        <w:rPr>
          <w:b/>
          <w:sz w:val="22"/>
        </w:rPr>
        <w:t>OU</w:t>
      </w:r>
      <w:r>
        <w:rPr>
          <w:b/>
          <w:spacing w:val="-12"/>
          <w:sz w:val="22"/>
        </w:rPr>
        <w:t> </w:t>
      </w:r>
      <w:r>
        <w:rPr>
          <w:b/>
          <w:sz w:val="22"/>
        </w:rPr>
        <w:t>MAIS</w:t>
      </w:r>
      <w:r>
        <w:rPr>
          <w:b/>
          <w:spacing w:val="-9"/>
          <w:sz w:val="22"/>
        </w:rPr>
        <w:t> </w:t>
      </w:r>
      <w:r>
        <w:rPr>
          <w:b/>
          <w:sz w:val="22"/>
        </w:rPr>
        <w:t>ANOS</w:t>
      </w:r>
      <w:r>
        <w:rPr>
          <w:b/>
          <w:spacing w:val="-13"/>
          <w:sz w:val="22"/>
        </w:rPr>
        <w:t> </w:t>
      </w:r>
      <w:r>
        <w:rPr>
          <w:b/>
          <w:sz w:val="22"/>
        </w:rPr>
        <w:t>REPRESENTADOS PELO PAINEL TIC COVID-19</w:t>
      </w: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8"/>
        <w:gridCol w:w="2556"/>
        <w:gridCol w:w="1847"/>
        <w:gridCol w:w="1597"/>
        <w:gridCol w:w="1454"/>
      </w:tblGrid>
      <w:tr>
        <w:trPr>
          <w:trHeight w:val="440" w:hRule="atLeast"/>
        </w:trPr>
        <w:tc>
          <w:tcPr>
            <w:tcW w:w="2758" w:type="dxa"/>
            <w:tcBorders>
              <w:top w:val="single" w:sz="8" w:space="0" w:color="000000"/>
            </w:tcBorders>
          </w:tcPr>
          <w:p>
            <w:pPr>
              <w:pStyle w:val="TableParagraph"/>
              <w:rPr>
                <w:rFonts w:ascii="Times New Roman"/>
                <w:sz w:val="20"/>
              </w:rPr>
            </w:pPr>
          </w:p>
        </w:tc>
        <w:tc>
          <w:tcPr>
            <w:tcW w:w="2556" w:type="dxa"/>
            <w:vMerge w:val="restart"/>
            <w:tcBorders>
              <w:top w:val="single" w:sz="8" w:space="0" w:color="000000"/>
              <w:bottom w:val="single" w:sz="8" w:space="0" w:color="000000"/>
            </w:tcBorders>
          </w:tcPr>
          <w:p>
            <w:pPr>
              <w:pStyle w:val="TableParagraph"/>
              <w:spacing w:line="268" w:lineRule="exact" w:before="66"/>
              <w:ind w:left="363"/>
              <w:rPr>
                <w:b/>
                <w:sz w:val="22"/>
              </w:rPr>
            </w:pPr>
            <w:r>
              <w:rPr>
                <w:b/>
                <w:sz w:val="22"/>
              </w:rPr>
              <w:t>População</w:t>
            </w:r>
            <w:r>
              <w:rPr>
                <w:b/>
                <w:spacing w:val="-2"/>
                <w:sz w:val="22"/>
              </w:rPr>
              <w:t> </w:t>
            </w:r>
            <w:r>
              <w:rPr>
                <w:b/>
                <w:sz w:val="22"/>
              </w:rPr>
              <w:t>de</w:t>
            </w:r>
            <w:r>
              <w:rPr>
                <w:b/>
                <w:spacing w:val="-2"/>
                <w:sz w:val="22"/>
              </w:rPr>
              <w:t> usuários</w:t>
            </w:r>
          </w:p>
          <w:p>
            <w:pPr>
              <w:pStyle w:val="TableParagraph"/>
              <w:tabs>
                <w:tab w:pos="7498" w:val="left" w:leader="none"/>
              </w:tabs>
              <w:ind w:left="867" w:right="-4954" w:hanging="513"/>
              <w:rPr>
                <w:b/>
                <w:sz w:val="22"/>
              </w:rPr>
            </w:pPr>
            <w:r>
              <w:rPr>
                <w:b/>
                <w:sz w:val="22"/>
              </w:rPr>
              <w:t>de Internet de 16 anos</w:t>
            </w:r>
            <w:r>
              <w:rPr>
                <w:b/>
                <w:spacing w:val="22"/>
                <w:sz w:val="22"/>
              </w:rPr>
              <w:t> </w:t>
            </w:r>
            <w:r>
              <w:rPr>
                <w:b/>
                <w:sz w:val="22"/>
                <w:u w:val="single"/>
              </w:rPr>
              <w:tab/>
            </w:r>
            <w:r>
              <w:rPr>
                <w:b/>
                <w:sz w:val="22"/>
              </w:rPr>
              <w:t> ou mais de idade</w:t>
            </w:r>
          </w:p>
          <w:p>
            <w:pPr>
              <w:pStyle w:val="TableParagraph"/>
              <w:spacing w:line="267" w:lineRule="exact"/>
              <w:ind w:left="503"/>
              <w:rPr>
                <w:b/>
                <w:sz w:val="22"/>
              </w:rPr>
            </w:pPr>
            <w:r>
              <w:rPr>
                <w:b/>
                <w:sz w:val="22"/>
              </w:rPr>
              <w:t>(TIC</w:t>
            </w:r>
            <w:r>
              <w:rPr>
                <w:b/>
                <w:spacing w:val="-4"/>
                <w:sz w:val="22"/>
              </w:rPr>
              <w:t> </w:t>
            </w:r>
            <w:r>
              <w:rPr>
                <w:b/>
                <w:sz w:val="22"/>
              </w:rPr>
              <w:t>Domicílios</w:t>
            </w:r>
            <w:r>
              <w:rPr>
                <w:b/>
                <w:spacing w:val="-3"/>
                <w:sz w:val="22"/>
              </w:rPr>
              <w:t> </w:t>
            </w:r>
            <w:r>
              <w:rPr>
                <w:b/>
                <w:spacing w:val="-2"/>
                <w:sz w:val="22"/>
              </w:rPr>
              <w:t>2019)</w:t>
            </w:r>
          </w:p>
        </w:tc>
        <w:tc>
          <w:tcPr>
            <w:tcW w:w="4898" w:type="dxa"/>
            <w:gridSpan w:val="3"/>
            <w:tcBorders>
              <w:top w:val="single" w:sz="8" w:space="0" w:color="000000"/>
            </w:tcBorders>
          </w:tcPr>
          <w:p>
            <w:pPr>
              <w:pStyle w:val="TableParagraph"/>
              <w:spacing w:before="126"/>
              <w:ind w:left="135"/>
              <w:rPr>
                <w:b/>
                <w:sz w:val="22"/>
              </w:rPr>
            </w:pPr>
            <w:r>
              <w:rPr>
                <w:b/>
                <w:sz w:val="22"/>
              </w:rPr>
              <w:t>População</w:t>
            </w:r>
            <w:r>
              <w:rPr>
                <w:b/>
                <w:spacing w:val="-5"/>
                <w:sz w:val="22"/>
              </w:rPr>
              <w:t> </w:t>
            </w:r>
            <w:r>
              <w:rPr>
                <w:b/>
                <w:sz w:val="22"/>
              </w:rPr>
              <w:t>representada</w:t>
            </w:r>
            <w:r>
              <w:rPr>
                <w:b/>
                <w:spacing w:val="-5"/>
                <w:sz w:val="22"/>
              </w:rPr>
              <w:t> </w:t>
            </w:r>
            <w:r>
              <w:rPr>
                <w:b/>
                <w:sz w:val="22"/>
              </w:rPr>
              <w:t>pelo</w:t>
            </w:r>
            <w:r>
              <w:rPr>
                <w:b/>
                <w:spacing w:val="-2"/>
                <w:sz w:val="22"/>
              </w:rPr>
              <w:t> </w:t>
            </w:r>
            <w:r>
              <w:rPr>
                <w:b/>
                <w:sz w:val="22"/>
              </w:rPr>
              <w:t>Painel</w:t>
            </w:r>
            <w:r>
              <w:rPr>
                <w:b/>
                <w:spacing w:val="-2"/>
                <w:sz w:val="22"/>
              </w:rPr>
              <w:t> </w:t>
            </w:r>
            <w:r>
              <w:rPr>
                <w:b/>
                <w:sz w:val="22"/>
              </w:rPr>
              <w:t>TIC</w:t>
            </w:r>
            <w:r>
              <w:rPr>
                <w:b/>
                <w:spacing w:val="-4"/>
                <w:sz w:val="22"/>
              </w:rPr>
              <w:t> </w:t>
            </w:r>
            <w:r>
              <w:rPr>
                <w:b/>
                <w:sz w:val="22"/>
              </w:rPr>
              <w:t>COVID-</w:t>
            </w:r>
            <w:r>
              <w:rPr>
                <w:b/>
                <w:spacing w:val="-5"/>
                <w:sz w:val="22"/>
              </w:rPr>
              <w:t>19</w:t>
            </w:r>
          </w:p>
        </w:tc>
      </w:tr>
      <w:tr>
        <w:trPr>
          <w:trHeight w:val="287" w:hRule="atLeast"/>
        </w:trPr>
        <w:tc>
          <w:tcPr>
            <w:tcW w:w="2758" w:type="dxa"/>
          </w:tcPr>
          <w:p>
            <w:pPr>
              <w:pStyle w:val="TableParagraph"/>
              <w:spacing w:line="262" w:lineRule="exact" w:before="5"/>
              <w:ind w:left="67"/>
              <w:rPr>
                <w:b/>
                <w:sz w:val="22"/>
              </w:rPr>
            </w:pPr>
            <w:r>
              <w:rPr>
                <w:b/>
                <w:spacing w:val="-2"/>
                <w:sz w:val="22"/>
              </w:rPr>
              <w:t>Características</w:t>
            </w:r>
          </w:p>
        </w:tc>
        <w:tc>
          <w:tcPr>
            <w:tcW w:w="2556" w:type="dxa"/>
            <w:vMerge/>
            <w:tcBorders>
              <w:top w:val="nil"/>
              <w:bottom w:val="single" w:sz="8" w:space="0" w:color="000000"/>
            </w:tcBorders>
          </w:tcPr>
          <w:p>
            <w:pPr>
              <w:rPr>
                <w:sz w:val="2"/>
                <w:szCs w:val="2"/>
              </w:rPr>
            </w:pPr>
          </w:p>
        </w:tc>
        <w:tc>
          <w:tcPr>
            <w:tcW w:w="1847" w:type="dxa"/>
          </w:tcPr>
          <w:p>
            <w:pPr>
              <w:pStyle w:val="TableParagraph"/>
              <w:rPr>
                <w:rFonts w:ascii="Times New Roman"/>
                <w:sz w:val="20"/>
              </w:rPr>
            </w:pPr>
          </w:p>
        </w:tc>
        <w:tc>
          <w:tcPr>
            <w:tcW w:w="1597" w:type="dxa"/>
          </w:tcPr>
          <w:p>
            <w:pPr>
              <w:pStyle w:val="TableParagraph"/>
              <w:rPr>
                <w:rFonts w:ascii="Times New Roman"/>
                <w:sz w:val="20"/>
              </w:rPr>
            </w:pPr>
          </w:p>
        </w:tc>
        <w:tc>
          <w:tcPr>
            <w:tcW w:w="1454" w:type="dxa"/>
          </w:tcPr>
          <w:p>
            <w:pPr>
              <w:pStyle w:val="TableParagraph"/>
              <w:rPr>
                <w:rFonts w:ascii="Times New Roman"/>
                <w:sz w:val="20"/>
              </w:rPr>
            </w:pPr>
          </w:p>
        </w:tc>
      </w:tr>
      <w:tr>
        <w:trPr>
          <w:trHeight w:val="439" w:hRule="atLeast"/>
        </w:trPr>
        <w:tc>
          <w:tcPr>
            <w:tcW w:w="2758" w:type="dxa"/>
            <w:tcBorders>
              <w:bottom w:val="single" w:sz="8" w:space="0" w:color="000000"/>
            </w:tcBorders>
          </w:tcPr>
          <w:p>
            <w:pPr>
              <w:pStyle w:val="TableParagraph"/>
              <w:rPr>
                <w:rFonts w:ascii="Times New Roman"/>
                <w:sz w:val="20"/>
              </w:rPr>
            </w:pPr>
          </w:p>
        </w:tc>
        <w:tc>
          <w:tcPr>
            <w:tcW w:w="2556" w:type="dxa"/>
            <w:vMerge/>
            <w:tcBorders>
              <w:top w:val="nil"/>
              <w:bottom w:val="single" w:sz="8" w:space="0" w:color="000000"/>
            </w:tcBorders>
          </w:tcPr>
          <w:p>
            <w:pPr>
              <w:rPr>
                <w:sz w:val="2"/>
                <w:szCs w:val="2"/>
              </w:rPr>
            </w:pPr>
          </w:p>
        </w:tc>
        <w:tc>
          <w:tcPr>
            <w:tcW w:w="1847" w:type="dxa"/>
            <w:tcBorders>
              <w:bottom w:val="single" w:sz="8" w:space="0" w:color="000000"/>
            </w:tcBorders>
          </w:tcPr>
          <w:p>
            <w:pPr>
              <w:pStyle w:val="TableParagraph"/>
              <w:spacing w:line="242" w:lineRule="exact"/>
              <w:ind w:right="326"/>
              <w:jc w:val="right"/>
              <w:rPr>
                <w:b/>
                <w:sz w:val="22"/>
              </w:rPr>
            </w:pPr>
            <w:r>
              <w:rPr>
                <w:b/>
                <w:sz w:val="22"/>
              </w:rPr>
              <w:t>Edição</w:t>
            </w:r>
            <w:r>
              <w:rPr>
                <w:b/>
                <w:spacing w:val="2"/>
                <w:sz w:val="22"/>
              </w:rPr>
              <w:t> </w:t>
            </w:r>
            <w:r>
              <w:rPr>
                <w:b/>
                <w:spacing w:val="-10"/>
                <w:sz w:val="22"/>
              </w:rPr>
              <w:t>1</w:t>
            </w:r>
          </w:p>
        </w:tc>
        <w:tc>
          <w:tcPr>
            <w:tcW w:w="1597" w:type="dxa"/>
            <w:tcBorders>
              <w:bottom w:val="single" w:sz="8" w:space="0" w:color="000000"/>
            </w:tcBorders>
          </w:tcPr>
          <w:p>
            <w:pPr>
              <w:pStyle w:val="TableParagraph"/>
              <w:spacing w:line="242" w:lineRule="exact"/>
              <w:ind w:right="270"/>
              <w:jc w:val="right"/>
              <w:rPr>
                <w:b/>
                <w:sz w:val="22"/>
              </w:rPr>
            </w:pPr>
            <w:r>
              <w:rPr>
                <w:b/>
                <w:sz w:val="22"/>
              </w:rPr>
              <w:t>Edição</w:t>
            </w:r>
            <w:r>
              <w:rPr>
                <w:b/>
                <w:spacing w:val="2"/>
                <w:sz w:val="22"/>
              </w:rPr>
              <w:t> </w:t>
            </w:r>
            <w:r>
              <w:rPr>
                <w:b/>
                <w:spacing w:val="-10"/>
                <w:sz w:val="22"/>
              </w:rPr>
              <w:t>2</w:t>
            </w:r>
          </w:p>
        </w:tc>
        <w:tc>
          <w:tcPr>
            <w:tcW w:w="1454" w:type="dxa"/>
            <w:tcBorders>
              <w:bottom w:val="single" w:sz="8" w:space="0" w:color="000000"/>
            </w:tcBorders>
          </w:tcPr>
          <w:p>
            <w:pPr>
              <w:pStyle w:val="TableParagraph"/>
              <w:spacing w:line="242" w:lineRule="exact"/>
              <w:ind w:right="71"/>
              <w:jc w:val="right"/>
              <w:rPr>
                <w:b/>
                <w:sz w:val="22"/>
              </w:rPr>
            </w:pPr>
            <w:r>
              <w:rPr>
                <w:b/>
                <w:sz w:val="22"/>
              </w:rPr>
              <w:t>Edição</w:t>
            </w:r>
            <w:r>
              <w:rPr>
                <w:b/>
                <w:spacing w:val="2"/>
                <w:sz w:val="22"/>
              </w:rPr>
              <w:t> </w:t>
            </w:r>
            <w:r>
              <w:rPr>
                <w:b/>
                <w:spacing w:val="-10"/>
                <w:sz w:val="22"/>
              </w:rPr>
              <w:t>3</w:t>
            </w:r>
          </w:p>
        </w:tc>
      </w:tr>
      <w:tr>
        <w:trPr>
          <w:trHeight w:val="308" w:hRule="atLeast"/>
        </w:trPr>
        <w:tc>
          <w:tcPr>
            <w:tcW w:w="2758" w:type="dxa"/>
            <w:tcBorders>
              <w:top w:val="single" w:sz="8" w:space="0" w:color="000000"/>
            </w:tcBorders>
          </w:tcPr>
          <w:p>
            <w:pPr>
              <w:pStyle w:val="TableParagraph"/>
              <w:spacing w:before="10"/>
              <w:ind w:left="67"/>
              <w:rPr>
                <w:b/>
                <w:sz w:val="22"/>
              </w:rPr>
            </w:pPr>
            <w:r>
              <w:rPr>
                <w:b/>
                <w:spacing w:val="-4"/>
                <w:sz w:val="22"/>
              </w:rPr>
              <w:t>Sexo</w:t>
            </w:r>
          </w:p>
        </w:tc>
        <w:tc>
          <w:tcPr>
            <w:tcW w:w="2556" w:type="dxa"/>
            <w:tcBorders>
              <w:top w:val="single" w:sz="8" w:space="0" w:color="000000"/>
            </w:tcBorders>
          </w:tcPr>
          <w:p>
            <w:pPr>
              <w:pStyle w:val="TableParagraph"/>
              <w:rPr>
                <w:rFonts w:ascii="Times New Roman"/>
                <w:sz w:val="20"/>
              </w:rPr>
            </w:pPr>
          </w:p>
        </w:tc>
        <w:tc>
          <w:tcPr>
            <w:tcW w:w="1847" w:type="dxa"/>
            <w:tcBorders>
              <w:top w:val="single" w:sz="8" w:space="0" w:color="000000"/>
            </w:tcBorders>
          </w:tcPr>
          <w:p>
            <w:pPr>
              <w:pStyle w:val="TableParagraph"/>
              <w:rPr>
                <w:rFonts w:ascii="Times New Roman"/>
                <w:sz w:val="20"/>
              </w:rPr>
            </w:pPr>
          </w:p>
        </w:tc>
        <w:tc>
          <w:tcPr>
            <w:tcW w:w="1597" w:type="dxa"/>
            <w:tcBorders>
              <w:top w:val="single" w:sz="8" w:space="0" w:color="000000"/>
            </w:tcBorders>
          </w:tcPr>
          <w:p>
            <w:pPr>
              <w:pStyle w:val="TableParagraph"/>
              <w:rPr>
                <w:rFonts w:ascii="Times New Roman"/>
                <w:sz w:val="20"/>
              </w:rPr>
            </w:pPr>
          </w:p>
        </w:tc>
        <w:tc>
          <w:tcPr>
            <w:tcW w:w="1454" w:type="dxa"/>
            <w:tcBorders>
              <w:top w:val="single" w:sz="8" w:space="0" w:color="000000"/>
            </w:tcBorders>
          </w:tcPr>
          <w:p>
            <w:pPr>
              <w:pStyle w:val="TableParagraph"/>
              <w:rPr>
                <w:rFonts w:ascii="Times New Roman"/>
                <w:sz w:val="20"/>
              </w:rPr>
            </w:pPr>
          </w:p>
        </w:tc>
      </w:tr>
      <w:tr>
        <w:trPr>
          <w:trHeight w:val="292" w:hRule="atLeast"/>
        </w:trPr>
        <w:tc>
          <w:tcPr>
            <w:tcW w:w="2758" w:type="dxa"/>
          </w:tcPr>
          <w:p>
            <w:pPr>
              <w:pStyle w:val="TableParagraph"/>
              <w:spacing w:line="258" w:lineRule="exact"/>
              <w:ind w:left="287"/>
              <w:rPr>
                <w:sz w:val="22"/>
              </w:rPr>
            </w:pPr>
            <w:r>
              <w:rPr>
                <w:spacing w:val="-2"/>
                <w:sz w:val="22"/>
              </w:rPr>
              <w:t>Masculino</w:t>
            </w:r>
          </w:p>
        </w:tc>
        <w:tc>
          <w:tcPr>
            <w:tcW w:w="2556" w:type="dxa"/>
          </w:tcPr>
          <w:p>
            <w:pPr>
              <w:pStyle w:val="TableParagraph"/>
              <w:spacing w:line="258" w:lineRule="exact"/>
              <w:ind w:right="136"/>
              <w:jc w:val="right"/>
              <w:rPr>
                <w:sz w:val="22"/>
              </w:rPr>
            </w:pPr>
            <w:r>
              <w:rPr>
                <w:sz w:val="22"/>
              </w:rPr>
              <w:t>57</w:t>
            </w:r>
            <w:r>
              <w:rPr>
                <w:spacing w:val="-2"/>
                <w:sz w:val="22"/>
              </w:rPr>
              <w:t> </w:t>
            </w:r>
            <w:r>
              <w:rPr>
                <w:sz w:val="22"/>
              </w:rPr>
              <w:t>529</w:t>
            </w:r>
            <w:r>
              <w:rPr>
                <w:spacing w:val="-2"/>
                <w:sz w:val="22"/>
              </w:rPr>
              <w:t> </w:t>
            </w:r>
            <w:r>
              <w:rPr>
                <w:spacing w:val="-5"/>
                <w:sz w:val="22"/>
              </w:rPr>
              <w:t>132</w:t>
            </w:r>
          </w:p>
        </w:tc>
        <w:tc>
          <w:tcPr>
            <w:tcW w:w="1847" w:type="dxa"/>
          </w:tcPr>
          <w:p>
            <w:pPr>
              <w:pStyle w:val="TableParagraph"/>
              <w:spacing w:line="258" w:lineRule="exact"/>
              <w:ind w:right="330"/>
              <w:jc w:val="right"/>
              <w:rPr>
                <w:sz w:val="22"/>
              </w:rPr>
            </w:pPr>
            <w:r>
              <w:rPr>
                <w:sz w:val="22"/>
              </w:rPr>
              <w:t>48</w:t>
            </w:r>
            <w:r>
              <w:rPr>
                <w:spacing w:val="-2"/>
                <w:sz w:val="22"/>
              </w:rPr>
              <w:t> </w:t>
            </w:r>
            <w:r>
              <w:rPr>
                <w:sz w:val="22"/>
              </w:rPr>
              <w:t>969</w:t>
            </w:r>
            <w:r>
              <w:rPr>
                <w:spacing w:val="-2"/>
                <w:sz w:val="22"/>
              </w:rPr>
              <w:t> </w:t>
            </w:r>
            <w:r>
              <w:rPr>
                <w:spacing w:val="-5"/>
                <w:sz w:val="22"/>
              </w:rPr>
              <w:t>763</w:t>
            </w:r>
          </w:p>
        </w:tc>
        <w:tc>
          <w:tcPr>
            <w:tcW w:w="1597" w:type="dxa"/>
          </w:tcPr>
          <w:p>
            <w:pPr>
              <w:pStyle w:val="TableParagraph"/>
              <w:spacing w:line="258" w:lineRule="exact"/>
              <w:ind w:right="275"/>
              <w:jc w:val="right"/>
              <w:rPr>
                <w:sz w:val="22"/>
              </w:rPr>
            </w:pPr>
            <w:r>
              <w:rPr>
                <w:sz w:val="22"/>
              </w:rPr>
              <w:t>46</w:t>
            </w:r>
            <w:r>
              <w:rPr>
                <w:spacing w:val="-2"/>
                <w:sz w:val="22"/>
              </w:rPr>
              <w:t> </w:t>
            </w:r>
            <w:r>
              <w:rPr>
                <w:sz w:val="22"/>
              </w:rPr>
              <w:t>868</w:t>
            </w:r>
            <w:r>
              <w:rPr>
                <w:spacing w:val="-2"/>
                <w:sz w:val="22"/>
              </w:rPr>
              <w:t> </w:t>
            </w:r>
            <w:r>
              <w:rPr>
                <w:spacing w:val="-5"/>
                <w:sz w:val="22"/>
              </w:rPr>
              <w:t>635</w:t>
            </w:r>
          </w:p>
        </w:tc>
        <w:tc>
          <w:tcPr>
            <w:tcW w:w="1454" w:type="dxa"/>
          </w:tcPr>
          <w:p>
            <w:pPr>
              <w:pStyle w:val="TableParagraph"/>
              <w:spacing w:line="258" w:lineRule="exact"/>
              <w:ind w:right="76"/>
              <w:jc w:val="right"/>
              <w:rPr>
                <w:sz w:val="22"/>
              </w:rPr>
            </w:pPr>
            <w:r>
              <w:rPr>
                <w:sz w:val="22"/>
              </w:rPr>
              <w:t>48</w:t>
            </w:r>
            <w:r>
              <w:rPr>
                <w:spacing w:val="-2"/>
                <w:sz w:val="22"/>
              </w:rPr>
              <w:t> </w:t>
            </w:r>
            <w:r>
              <w:rPr>
                <w:sz w:val="22"/>
              </w:rPr>
              <w:t>969</w:t>
            </w:r>
            <w:r>
              <w:rPr>
                <w:spacing w:val="-2"/>
                <w:sz w:val="22"/>
              </w:rPr>
              <w:t> </w:t>
            </w:r>
            <w:r>
              <w:rPr>
                <w:spacing w:val="-5"/>
                <w:sz w:val="22"/>
              </w:rPr>
              <w:t>763</w:t>
            </w:r>
          </w:p>
        </w:tc>
      </w:tr>
      <w:tr>
        <w:trPr>
          <w:trHeight w:val="279" w:hRule="atLeast"/>
        </w:trPr>
        <w:tc>
          <w:tcPr>
            <w:tcW w:w="2758" w:type="dxa"/>
            <w:tcBorders>
              <w:bottom w:val="single" w:sz="8" w:space="0" w:color="000000"/>
            </w:tcBorders>
          </w:tcPr>
          <w:p>
            <w:pPr>
              <w:pStyle w:val="TableParagraph"/>
              <w:spacing w:line="259" w:lineRule="exact"/>
              <w:ind w:left="287"/>
              <w:rPr>
                <w:sz w:val="22"/>
              </w:rPr>
            </w:pPr>
            <w:r>
              <w:rPr>
                <w:spacing w:val="-2"/>
                <w:sz w:val="22"/>
              </w:rPr>
              <w:t>Feminino</w:t>
            </w:r>
          </w:p>
        </w:tc>
        <w:tc>
          <w:tcPr>
            <w:tcW w:w="2556" w:type="dxa"/>
            <w:tcBorders>
              <w:bottom w:val="single" w:sz="8" w:space="0" w:color="000000"/>
            </w:tcBorders>
          </w:tcPr>
          <w:p>
            <w:pPr>
              <w:pStyle w:val="TableParagraph"/>
              <w:spacing w:line="259" w:lineRule="exact"/>
              <w:ind w:right="136"/>
              <w:jc w:val="right"/>
              <w:rPr>
                <w:sz w:val="22"/>
              </w:rPr>
            </w:pPr>
            <w:r>
              <w:rPr>
                <w:sz w:val="22"/>
              </w:rPr>
              <w:t>63</w:t>
            </w:r>
            <w:r>
              <w:rPr>
                <w:spacing w:val="-2"/>
                <w:sz w:val="22"/>
              </w:rPr>
              <w:t> </w:t>
            </w:r>
            <w:r>
              <w:rPr>
                <w:sz w:val="22"/>
              </w:rPr>
              <w:t>946</w:t>
            </w:r>
            <w:r>
              <w:rPr>
                <w:spacing w:val="-2"/>
                <w:sz w:val="22"/>
              </w:rPr>
              <w:t> </w:t>
            </w:r>
            <w:r>
              <w:rPr>
                <w:spacing w:val="-5"/>
                <w:sz w:val="22"/>
              </w:rPr>
              <w:t>589</w:t>
            </w:r>
          </w:p>
        </w:tc>
        <w:tc>
          <w:tcPr>
            <w:tcW w:w="1847" w:type="dxa"/>
            <w:tcBorders>
              <w:bottom w:val="single" w:sz="8" w:space="0" w:color="000000"/>
            </w:tcBorders>
          </w:tcPr>
          <w:p>
            <w:pPr>
              <w:pStyle w:val="TableParagraph"/>
              <w:spacing w:line="259" w:lineRule="exact"/>
              <w:ind w:right="330"/>
              <w:jc w:val="right"/>
              <w:rPr>
                <w:sz w:val="22"/>
              </w:rPr>
            </w:pPr>
            <w:r>
              <w:rPr>
                <w:sz w:val="22"/>
              </w:rPr>
              <w:t>52</w:t>
            </w:r>
            <w:r>
              <w:rPr>
                <w:spacing w:val="-2"/>
                <w:sz w:val="22"/>
              </w:rPr>
              <w:t> </w:t>
            </w:r>
            <w:r>
              <w:rPr>
                <w:sz w:val="22"/>
              </w:rPr>
              <w:t>206</w:t>
            </w:r>
            <w:r>
              <w:rPr>
                <w:spacing w:val="-2"/>
                <w:sz w:val="22"/>
              </w:rPr>
              <w:t> </w:t>
            </w:r>
            <w:r>
              <w:rPr>
                <w:spacing w:val="-5"/>
                <w:sz w:val="22"/>
              </w:rPr>
              <w:t>246</w:t>
            </w:r>
          </w:p>
        </w:tc>
        <w:tc>
          <w:tcPr>
            <w:tcW w:w="1597" w:type="dxa"/>
            <w:tcBorders>
              <w:bottom w:val="single" w:sz="8" w:space="0" w:color="000000"/>
            </w:tcBorders>
          </w:tcPr>
          <w:p>
            <w:pPr>
              <w:pStyle w:val="TableParagraph"/>
              <w:spacing w:line="259" w:lineRule="exact"/>
              <w:ind w:right="275"/>
              <w:jc w:val="right"/>
              <w:rPr>
                <w:sz w:val="22"/>
              </w:rPr>
            </w:pPr>
            <w:r>
              <w:rPr>
                <w:sz w:val="22"/>
              </w:rPr>
              <w:t>50</w:t>
            </w:r>
            <w:r>
              <w:rPr>
                <w:spacing w:val="-2"/>
                <w:sz w:val="22"/>
              </w:rPr>
              <w:t> </w:t>
            </w:r>
            <w:r>
              <w:rPr>
                <w:sz w:val="22"/>
              </w:rPr>
              <w:t>286</w:t>
            </w:r>
            <w:r>
              <w:rPr>
                <w:spacing w:val="-2"/>
                <w:sz w:val="22"/>
              </w:rPr>
              <w:t> </w:t>
            </w:r>
            <w:r>
              <w:rPr>
                <w:spacing w:val="-5"/>
                <w:sz w:val="22"/>
              </w:rPr>
              <w:t>021</w:t>
            </w:r>
          </w:p>
        </w:tc>
        <w:tc>
          <w:tcPr>
            <w:tcW w:w="1454" w:type="dxa"/>
            <w:tcBorders>
              <w:bottom w:val="single" w:sz="8" w:space="0" w:color="000000"/>
            </w:tcBorders>
          </w:tcPr>
          <w:p>
            <w:pPr>
              <w:pStyle w:val="TableParagraph"/>
              <w:spacing w:line="259" w:lineRule="exact"/>
              <w:ind w:right="76"/>
              <w:jc w:val="right"/>
              <w:rPr>
                <w:sz w:val="22"/>
              </w:rPr>
            </w:pPr>
            <w:r>
              <w:rPr>
                <w:sz w:val="22"/>
              </w:rPr>
              <w:t>52</w:t>
            </w:r>
            <w:r>
              <w:rPr>
                <w:spacing w:val="-2"/>
                <w:sz w:val="22"/>
              </w:rPr>
              <w:t> </w:t>
            </w:r>
            <w:r>
              <w:rPr>
                <w:sz w:val="22"/>
              </w:rPr>
              <w:t>206</w:t>
            </w:r>
            <w:r>
              <w:rPr>
                <w:spacing w:val="-2"/>
                <w:sz w:val="22"/>
              </w:rPr>
              <w:t> </w:t>
            </w:r>
            <w:r>
              <w:rPr>
                <w:spacing w:val="-5"/>
                <w:sz w:val="22"/>
              </w:rPr>
              <w:t>246</w:t>
            </w:r>
          </w:p>
        </w:tc>
      </w:tr>
      <w:tr>
        <w:trPr>
          <w:trHeight w:val="309" w:hRule="atLeast"/>
        </w:trPr>
        <w:tc>
          <w:tcPr>
            <w:tcW w:w="2758" w:type="dxa"/>
            <w:tcBorders>
              <w:top w:val="single" w:sz="8" w:space="0" w:color="000000"/>
            </w:tcBorders>
          </w:tcPr>
          <w:p>
            <w:pPr>
              <w:pStyle w:val="TableParagraph"/>
              <w:spacing w:before="10"/>
              <w:ind w:left="67"/>
              <w:rPr>
                <w:b/>
                <w:sz w:val="22"/>
              </w:rPr>
            </w:pPr>
            <w:r>
              <w:rPr>
                <w:b/>
                <w:sz w:val="22"/>
              </w:rPr>
              <w:t>Classe</w:t>
            </w:r>
            <w:r>
              <w:rPr>
                <w:b/>
                <w:spacing w:val="-5"/>
                <w:sz w:val="22"/>
              </w:rPr>
              <w:t> </w:t>
            </w:r>
            <w:r>
              <w:rPr>
                <w:b/>
                <w:spacing w:val="-2"/>
                <w:sz w:val="22"/>
              </w:rPr>
              <w:t>social</w:t>
            </w:r>
          </w:p>
        </w:tc>
        <w:tc>
          <w:tcPr>
            <w:tcW w:w="2556" w:type="dxa"/>
            <w:tcBorders>
              <w:top w:val="single" w:sz="8" w:space="0" w:color="000000"/>
            </w:tcBorders>
          </w:tcPr>
          <w:p>
            <w:pPr>
              <w:pStyle w:val="TableParagraph"/>
              <w:rPr>
                <w:rFonts w:ascii="Times New Roman"/>
                <w:sz w:val="20"/>
              </w:rPr>
            </w:pPr>
          </w:p>
        </w:tc>
        <w:tc>
          <w:tcPr>
            <w:tcW w:w="1847" w:type="dxa"/>
            <w:tcBorders>
              <w:top w:val="single" w:sz="8" w:space="0" w:color="000000"/>
            </w:tcBorders>
          </w:tcPr>
          <w:p>
            <w:pPr>
              <w:pStyle w:val="TableParagraph"/>
              <w:rPr>
                <w:rFonts w:ascii="Times New Roman"/>
                <w:sz w:val="20"/>
              </w:rPr>
            </w:pPr>
          </w:p>
        </w:tc>
        <w:tc>
          <w:tcPr>
            <w:tcW w:w="1597" w:type="dxa"/>
            <w:tcBorders>
              <w:top w:val="single" w:sz="8" w:space="0" w:color="000000"/>
            </w:tcBorders>
          </w:tcPr>
          <w:p>
            <w:pPr>
              <w:pStyle w:val="TableParagraph"/>
              <w:rPr>
                <w:rFonts w:ascii="Times New Roman"/>
                <w:sz w:val="20"/>
              </w:rPr>
            </w:pPr>
          </w:p>
        </w:tc>
        <w:tc>
          <w:tcPr>
            <w:tcW w:w="1454" w:type="dxa"/>
            <w:tcBorders>
              <w:top w:val="single" w:sz="8" w:space="0" w:color="000000"/>
            </w:tcBorders>
          </w:tcPr>
          <w:p>
            <w:pPr>
              <w:pStyle w:val="TableParagraph"/>
              <w:rPr>
                <w:rFonts w:ascii="Times New Roman"/>
                <w:sz w:val="20"/>
              </w:rPr>
            </w:pPr>
          </w:p>
        </w:tc>
      </w:tr>
      <w:tr>
        <w:trPr>
          <w:trHeight w:val="290" w:hRule="atLeast"/>
        </w:trPr>
        <w:tc>
          <w:tcPr>
            <w:tcW w:w="2758" w:type="dxa"/>
          </w:tcPr>
          <w:p>
            <w:pPr>
              <w:pStyle w:val="TableParagraph"/>
              <w:spacing w:line="258" w:lineRule="exact"/>
              <w:ind w:left="287"/>
              <w:rPr>
                <w:sz w:val="22"/>
              </w:rPr>
            </w:pPr>
            <w:r>
              <w:rPr>
                <w:spacing w:val="-5"/>
                <w:sz w:val="22"/>
              </w:rPr>
              <w:t>AB</w:t>
            </w:r>
          </w:p>
        </w:tc>
        <w:tc>
          <w:tcPr>
            <w:tcW w:w="2556" w:type="dxa"/>
          </w:tcPr>
          <w:p>
            <w:pPr>
              <w:pStyle w:val="TableParagraph"/>
              <w:spacing w:line="258" w:lineRule="exact"/>
              <w:ind w:right="136"/>
              <w:jc w:val="right"/>
              <w:rPr>
                <w:sz w:val="22"/>
              </w:rPr>
            </w:pPr>
            <w:r>
              <w:rPr>
                <w:sz w:val="22"/>
              </w:rPr>
              <w:t>28</w:t>
            </w:r>
            <w:r>
              <w:rPr>
                <w:spacing w:val="-2"/>
                <w:sz w:val="22"/>
              </w:rPr>
              <w:t> </w:t>
            </w:r>
            <w:r>
              <w:rPr>
                <w:sz w:val="22"/>
              </w:rPr>
              <w:t>021</w:t>
            </w:r>
            <w:r>
              <w:rPr>
                <w:spacing w:val="-2"/>
                <w:sz w:val="22"/>
              </w:rPr>
              <w:t> </w:t>
            </w:r>
            <w:r>
              <w:rPr>
                <w:spacing w:val="-5"/>
                <w:sz w:val="22"/>
              </w:rPr>
              <w:t>597</w:t>
            </w:r>
          </w:p>
        </w:tc>
        <w:tc>
          <w:tcPr>
            <w:tcW w:w="1847" w:type="dxa"/>
          </w:tcPr>
          <w:p>
            <w:pPr>
              <w:pStyle w:val="TableParagraph"/>
              <w:spacing w:line="258" w:lineRule="exact"/>
              <w:ind w:right="330"/>
              <w:jc w:val="right"/>
              <w:rPr>
                <w:sz w:val="22"/>
              </w:rPr>
            </w:pPr>
            <w:r>
              <w:rPr>
                <w:sz w:val="22"/>
              </w:rPr>
              <w:t>30</w:t>
            </w:r>
            <w:r>
              <w:rPr>
                <w:spacing w:val="-2"/>
                <w:sz w:val="22"/>
              </w:rPr>
              <w:t> </w:t>
            </w:r>
            <w:r>
              <w:rPr>
                <w:sz w:val="22"/>
              </w:rPr>
              <w:t>107</w:t>
            </w:r>
            <w:r>
              <w:rPr>
                <w:spacing w:val="-2"/>
                <w:sz w:val="22"/>
              </w:rPr>
              <w:t> </w:t>
            </w:r>
            <w:r>
              <w:rPr>
                <w:spacing w:val="-5"/>
                <w:sz w:val="22"/>
              </w:rPr>
              <w:t>156</w:t>
            </w:r>
          </w:p>
        </w:tc>
        <w:tc>
          <w:tcPr>
            <w:tcW w:w="1597" w:type="dxa"/>
          </w:tcPr>
          <w:p>
            <w:pPr>
              <w:pStyle w:val="TableParagraph"/>
              <w:spacing w:line="258" w:lineRule="exact"/>
              <w:ind w:right="275"/>
              <w:jc w:val="right"/>
              <w:rPr>
                <w:sz w:val="22"/>
              </w:rPr>
            </w:pPr>
            <w:r>
              <w:rPr>
                <w:sz w:val="22"/>
              </w:rPr>
              <w:t>29</w:t>
            </w:r>
            <w:r>
              <w:rPr>
                <w:spacing w:val="-2"/>
                <w:sz w:val="22"/>
              </w:rPr>
              <w:t> </w:t>
            </w:r>
            <w:r>
              <w:rPr>
                <w:sz w:val="22"/>
              </w:rPr>
              <w:t>537</w:t>
            </w:r>
            <w:r>
              <w:rPr>
                <w:spacing w:val="-2"/>
                <w:sz w:val="22"/>
              </w:rPr>
              <w:t> </w:t>
            </w:r>
            <w:r>
              <w:rPr>
                <w:spacing w:val="-5"/>
                <w:sz w:val="22"/>
              </w:rPr>
              <w:t>283</w:t>
            </w:r>
          </w:p>
        </w:tc>
        <w:tc>
          <w:tcPr>
            <w:tcW w:w="1454" w:type="dxa"/>
          </w:tcPr>
          <w:p>
            <w:pPr>
              <w:pStyle w:val="TableParagraph"/>
              <w:spacing w:line="258" w:lineRule="exact"/>
              <w:ind w:right="76"/>
              <w:jc w:val="right"/>
              <w:rPr>
                <w:sz w:val="22"/>
              </w:rPr>
            </w:pPr>
            <w:r>
              <w:rPr>
                <w:sz w:val="22"/>
              </w:rPr>
              <w:t>30</w:t>
            </w:r>
            <w:r>
              <w:rPr>
                <w:spacing w:val="-2"/>
                <w:sz w:val="22"/>
              </w:rPr>
              <w:t> </w:t>
            </w:r>
            <w:r>
              <w:rPr>
                <w:sz w:val="22"/>
              </w:rPr>
              <w:t>107</w:t>
            </w:r>
            <w:r>
              <w:rPr>
                <w:spacing w:val="-2"/>
                <w:sz w:val="22"/>
              </w:rPr>
              <w:t> </w:t>
            </w:r>
            <w:r>
              <w:rPr>
                <w:spacing w:val="-5"/>
                <w:sz w:val="22"/>
              </w:rPr>
              <w:t>156</w:t>
            </w:r>
          </w:p>
        </w:tc>
      </w:tr>
      <w:tr>
        <w:trPr>
          <w:trHeight w:val="293" w:hRule="atLeast"/>
        </w:trPr>
        <w:tc>
          <w:tcPr>
            <w:tcW w:w="2758" w:type="dxa"/>
          </w:tcPr>
          <w:p>
            <w:pPr>
              <w:pStyle w:val="TableParagraph"/>
              <w:spacing w:line="260" w:lineRule="exact"/>
              <w:ind w:left="287"/>
              <w:rPr>
                <w:sz w:val="22"/>
              </w:rPr>
            </w:pPr>
            <w:r>
              <w:rPr>
                <w:spacing w:val="-10"/>
                <w:sz w:val="22"/>
              </w:rPr>
              <w:t>C</w:t>
            </w:r>
          </w:p>
        </w:tc>
        <w:tc>
          <w:tcPr>
            <w:tcW w:w="2556" w:type="dxa"/>
          </w:tcPr>
          <w:p>
            <w:pPr>
              <w:pStyle w:val="TableParagraph"/>
              <w:spacing w:line="260" w:lineRule="exact"/>
              <w:ind w:right="136"/>
              <w:jc w:val="right"/>
              <w:rPr>
                <w:sz w:val="22"/>
              </w:rPr>
            </w:pPr>
            <w:r>
              <w:rPr>
                <w:sz w:val="22"/>
              </w:rPr>
              <w:t>60</w:t>
            </w:r>
            <w:r>
              <w:rPr>
                <w:spacing w:val="-2"/>
                <w:sz w:val="22"/>
              </w:rPr>
              <w:t> </w:t>
            </w:r>
            <w:r>
              <w:rPr>
                <w:sz w:val="22"/>
              </w:rPr>
              <w:t>187</w:t>
            </w:r>
            <w:r>
              <w:rPr>
                <w:spacing w:val="-2"/>
                <w:sz w:val="22"/>
              </w:rPr>
              <w:t> </w:t>
            </w:r>
            <w:r>
              <w:rPr>
                <w:spacing w:val="-5"/>
                <w:sz w:val="22"/>
              </w:rPr>
              <w:t>722</w:t>
            </w:r>
          </w:p>
        </w:tc>
        <w:tc>
          <w:tcPr>
            <w:tcW w:w="1847" w:type="dxa"/>
          </w:tcPr>
          <w:p>
            <w:pPr>
              <w:pStyle w:val="TableParagraph"/>
              <w:spacing w:line="260" w:lineRule="exact"/>
              <w:ind w:right="330"/>
              <w:jc w:val="right"/>
              <w:rPr>
                <w:sz w:val="22"/>
              </w:rPr>
            </w:pPr>
            <w:r>
              <w:rPr>
                <w:sz w:val="22"/>
              </w:rPr>
              <w:t>51</w:t>
            </w:r>
            <w:r>
              <w:rPr>
                <w:spacing w:val="-2"/>
                <w:sz w:val="22"/>
              </w:rPr>
              <w:t> </w:t>
            </w:r>
            <w:r>
              <w:rPr>
                <w:sz w:val="22"/>
              </w:rPr>
              <w:t>599</w:t>
            </w:r>
            <w:r>
              <w:rPr>
                <w:spacing w:val="-2"/>
                <w:sz w:val="22"/>
              </w:rPr>
              <w:t> </w:t>
            </w:r>
            <w:r>
              <w:rPr>
                <w:spacing w:val="-5"/>
                <w:sz w:val="22"/>
              </w:rPr>
              <w:t>711</w:t>
            </w:r>
          </w:p>
        </w:tc>
        <w:tc>
          <w:tcPr>
            <w:tcW w:w="1597" w:type="dxa"/>
          </w:tcPr>
          <w:p>
            <w:pPr>
              <w:pStyle w:val="TableParagraph"/>
              <w:spacing w:line="260" w:lineRule="exact"/>
              <w:ind w:right="275"/>
              <w:jc w:val="right"/>
              <w:rPr>
                <w:sz w:val="22"/>
              </w:rPr>
            </w:pPr>
            <w:r>
              <w:rPr>
                <w:sz w:val="22"/>
              </w:rPr>
              <w:t>49</w:t>
            </w:r>
            <w:r>
              <w:rPr>
                <w:spacing w:val="-2"/>
                <w:sz w:val="22"/>
              </w:rPr>
              <w:t> </w:t>
            </w:r>
            <w:r>
              <w:rPr>
                <w:sz w:val="22"/>
              </w:rPr>
              <w:t>696</w:t>
            </w:r>
            <w:r>
              <w:rPr>
                <w:spacing w:val="-2"/>
                <w:sz w:val="22"/>
              </w:rPr>
              <w:t> </w:t>
            </w:r>
            <w:r>
              <w:rPr>
                <w:spacing w:val="-5"/>
                <w:sz w:val="22"/>
              </w:rPr>
              <w:t>700</w:t>
            </w:r>
          </w:p>
        </w:tc>
        <w:tc>
          <w:tcPr>
            <w:tcW w:w="1454" w:type="dxa"/>
          </w:tcPr>
          <w:p>
            <w:pPr>
              <w:pStyle w:val="TableParagraph"/>
              <w:spacing w:line="260" w:lineRule="exact"/>
              <w:ind w:right="76"/>
              <w:jc w:val="right"/>
              <w:rPr>
                <w:sz w:val="22"/>
              </w:rPr>
            </w:pPr>
            <w:r>
              <w:rPr>
                <w:sz w:val="22"/>
              </w:rPr>
              <w:t>51</w:t>
            </w:r>
            <w:r>
              <w:rPr>
                <w:spacing w:val="-2"/>
                <w:sz w:val="22"/>
              </w:rPr>
              <w:t> </w:t>
            </w:r>
            <w:r>
              <w:rPr>
                <w:sz w:val="22"/>
              </w:rPr>
              <w:t>599</w:t>
            </w:r>
            <w:r>
              <w:rPr>
                <w:spacing w:val="-2"/>
                <w:sz w:val="22"/>
              </w:rPr>
              <w:t> </w:t>
            </w:r>
            <w:r>
              <w:rPr>
                <w:spacing w:val="-5"/>
                <w:sz w:val="22"/>
              </w:rPr>
              <w:t>711</w:t>
            </w:r>
          </w:p>
        </w:tc>
      </w:tr>
      <w:tr>
        <w:trPr>
          <w:trHeight w:val="279" w:hRule="atLeast"/>
        </w:trPr>
        <w:tc>
          <w:tcPr>
            <w:tcW w:w="2758" w:type="dxa"/>
            <w:tcBorders>
              <w:bottom w:val="single" w:sz="8" w:space="0" w:color="000000"/>
            </w:tcBorders>
          </w:tcPr>
          <w:p>
            <w:pPr>
              <w:pStyle w:val="TableParagraph"/>
              <w:spacing w:line="259" w:lineRule="exact"/>
              <w:ind w:left="287"/>
              <w:rPr>
                <w:sz w:val="22"/>
              </w:rPr>
            </w:pPr>
            <w:r>
              <w:rPr>
                <w:spacing w:val="-5"/>
                <w:sz w:val="22"/>
              </w:rPr>
              <w:t>DE</w:t>
            </w:r>
          </w:p>
        </w:tc>
        <w:tc>
          <w:tcPr>
            <w:tcW w:w="2556" w:type="dxa"/>
            <w:tcBorders>
              <w:bottom w:val="single" w:sz="8" w:space="0" w:color="000000"/>
            </w:tcBorders>
          </w:tcPr>
          <w:p>
            <w:pPr>
              <w:pStyle w:val="TableParagraph"/>
              <w:spacing w:line="259" w:lineRule="exact"/>
              <w:ind w:right="136"/>
              <w:jc w:val="right"/>
              <w:rPr>
                <w:sz w:val="22"/>
              </w:rPr>
            </w:pPr>
            <w:r>
              <w:rPr>
                <w:sz w:val="22"/>
              </w:rPr>
              <w:t>30</w:t>
            </w:r>
            <w:r>
              <w:rPr>
                <w:spacing w:val="-2"/>
                <w:sz w:val="22"/>
              </w:rPr>
              <w:t> </w:t>
            </w:r>
            <w:r>
              <w:rPr>
                <w:sz w:val="22"/>
              </w:rPr>
              <w:t>238</w:t>
            </w:r>
            <w:r>
              <w:rPr>
                <w:spacing w:val="-2"/>
                <w:sz w:val="22"/>
              </w:rPr>
              <w:t> </w:t>
            </w:r>
            <w:r>
              <w:rPr>
                <w:spacing w:val="-5"/>
                <w:sz w:val="22"/>
              </w:rPr>
              <w:t>053</w:t>
            </w:r>
          </w:p>
        </w:tc>
        <w:tc>
          <w:tcPr>
            <w:tcW w:w="1847" w:type="dxa"/>
            <w:tcBorders>
              <w:bottom w:val="single" w:sz="8" w:space="0" w:color="000000"/>
            </w:tcBorders>
          </w:tcPr>
          <w:p>
            <w:pPr>
              <w:pStyle w:val="TableParagraph"/>
              <w:spacing w:line="259" w:lineRule="exact"/>
              <w:ind w:right="330"/>
              <w:jc w:val="right"/>
              <w:rPr>
                <w:sz w:val="22"/>
              </w:rPr>
            </w:pPr>
            <w:r>
              <w:rPr>
                <w:sz w:val="22"/>
              </w:rPr>
              <w:t>19</w:t>
            </w:r>
            <w:r>
              <w:rPr>
                <w:spacing w:val="-2"/>
                <w:sz w:val="22"/>
              </w:rPr>
              <w:t> </w:t>
            </w:r>
            <w:r>
              <w:rPr>
                <w:sz w:val="22"/>
              </w:rPr>
              <w:t>469</w:t>
            </w:r>
            <w:r>
              <w:rPr>
                <w:spacing w:val="-2"/>
                <w:sz w:val="22"/>
              </w:rPr>
              <w:t> </w:t>
            </w:r>
            <w:r>
              <w:rPr>
                <w:spacing w:val="-5"/>
                <w:sz w:val="22"/>
              </w:rPr>
              <w:t>143</w:t>
            </w:r>
          </w:p>
        </w:tc>
        <w:tc>
          <w:tcPr>
            <w:tcW w:w="1597" w:type="dxa"/>
            <w:tcBorders>
              <w:bottom w:val="single" w:sz="8" w:space="0" w:color="000000"/>
            </w:tcBorders>
          </w:tcPr>
          <w:p>
            <w:pPr>
              <w:pStyle w:val="TableParagraph"/>
              <w:spacing w:line="259" w:lineRule="exact"/>
              <w:ind w:right="275"/>
              <w:jc w:val="right"/>
              <w:rPr>
                <w:sz w:val="22"/>
              </w:rPr>
            </w:pPr>
            <w:r>
              <w:rPr>
                <w:sz w:val="22"/>
              </w:rPr>
              <w:t>17</w:t>
            </w:r>
            <w:r>
              <w:rPr>
                <w:spacing w:val="-2"/>
                <w:sz w:val="22"/>
              </w:rPr>
              <w:t> </w:t>
            </w:r>
            <w:r>
              <w:rPr>
                <w:sz w:val="22"/>
              </w:rPr>
              <w:t>920</w:t>
            </w:r>
            <w:r>
              <w:rPr>
                <w:spacing w:val="-2"/>
                <w:sz w:val="22"/>
              </w:rPr>
              <w:t> </w:t>
            </w:r>
            <w:r>
              <w:rPr>
                <w:spacing w:val="-5"/>
                <w:sz w:val="22"/>
              </w:rPr>
              <w:t>673</w:t>
            </w:r>
          </w:p>
        </w:tc>
        <w:tc>
          <w:tcPr>
            <w:tcW w:w="1454" w:type="dxa"/>
            <w:tcBorders>
              <w:bottom w:val="single" w:sz="8" w:space="0" w:color="000000"/>
            </w:tcBorders>
          </w:tcPr>
          <w:p>
            <w:pPr>
              <w:pStyle w:val="TableParagraph"/>
              <w:spacing w:line="259" w:lineRule="exact"/>
              <w:ind w:right="76"/>
              <w:jc w:val="right"/>
              <w:rPr>
                <w:sz w:val="22"/>
              </w:rPr>
            </w:pPr>
            <w:r>
              <w:rPr>
                <w:sz w:val="22"/>
              </w:rPr>
              <w:t>19</w:t>
            </w:r>
            <w:r>
              <w:rPr>
                <w:spacing w:val="-2"/>
                <w:sz w:val="22"/>
              </w:rPr>
              <w:t> </w:t>
            </w:r>
            <w:r>
              <w:rPr>
                <w:sz w:val="22"/>
              </w:rPr>
              <w:t>469</w:t>
            </w:r>
            <w:r>
              <w:rPr>
                <w:spacing w:val="-2"/>
                <w:sz w:val="22"/>
              </w:rPr>
              <w:t> </w:t>
            </w:r>
            <w:r>
              <w:rPr>
                <w:spacing w:val="-5"/>
                <w:sz w:val="22"/>
              </w:rPr>
              <w:t>143</w:t>
            </w:r>
          </w:p>
        </w:tc>
      </w:tr>
      <w:tr>
        <w:trPr>
          <w:trHeight w:val="300" w:hRule="atLeast"/>
        </w:trPr>
        <w:tc>
          <w:tcPr>
            <w:tcW w:w="2758" w:type="dxa"/>
            <w:tcBorders>
              <w:top w:val="single" w:sz="8" w:space="0" w:color="000000"/>
            </w:tcBorders>
          </w:tcPr>
          <w:p>
            <w:pPr>
              <w:pStyle w:val="TableParagraph"/>
              <w:spacing w:before="6"/>
              <w:ind w:left="67"/>
              <w:rPr>
                <w:b/>
                <w:sz w:val="22"/>
              </w:rPr>
            </w:pPr>
            <w:r>
              <w:rPr>
                <w:b/>
                <w:sz w:val="22"/>
              </w:rPr>
              <w:t>Usuário</w:t>
            </w:r>
            <w:r>
              <w:rPr>
                <w:b/>
                <w:spacing w:val="-1"/>
                <w:sz w:val="22"/>
              </w:rPr>
              <w:t> </w:t>
            </w:r>
            <w:r>
              <w:rPr>
                <w:b/>
                <w:sz w:val="22"/>
              </w:rPr>
              <w:t>de</w:t>
            </w:r>
            <w:r>
              <w:rPr>
                <w:b/>
                <w:spacing w:val="-1"/>
                <w:sz w:val="22"/>
              </w:rPr>
              <w:t> </w:t>
            </w:r>
            <w:r>
              <w:rPr>
                <w:b/>
                <w:spacing w:val="-2"/>
                <w:sz w:val="22"/>
              </w:rPr>
              <w:t>computador</w:t>
            </w:r>
          </w:p>
        </w:tc>
        <w:tc>
          <w:tcPr>
            <w:tcW w:w="2556" w:type="dxa"/>
            <w:tcBorders>
              <w:top w:val="single" w:sz="8" w:space="0" w:color="000000"/>
            </w:tcBorders>
          </w:tcPr>
          <w:p>
            <w:pPr>
              <w:pStyle w:val="TableParagraph"/>
              <w:rPr>
                <w:rFonts w:ascii="Times New Roman"/>
                <w:sz w:val="20"/>
              </w:rPr>
            </w:pPr>
          </w:p>
        </w:tc>
        <w:tc>
          <w:tcPr>
            <w:tcW w:w="1847" w:type="dxa"/>
            <w:tcBorders>
              <w:top w:val="single" w:sz="8" w:space="0" w:color="000000"/>
            </w:tcBorders>
          </w:tcPr>
          <w:p>
            <w:pPr>
              <w:pStyle w:val="TableParagraph"/>
              <w:rPr>
                <w:rFonts w:ascii="Times New Roman"/>
                <w:sz w:val="20"/>
              </w:rPr>
            </w:pPr>
          </w:p>
        </w:tc>
        <w:tc>
          <w:tcPr>
            <w:tcW w:w="1597" w:type="dxa"/>
            <w:tcBorders>
              <w:top w:val="single" w:sz="8" w:space="0" w:color="000000"/>
            </w:tcBorders>
          </w:tcPr>
          <w:p>
            <w:pPr>
              <w:pStyle w:val="TableParagraph"/>
              <w:rPr>
                <w:rFonts w:ascii="Times New Roman"/>
                <w:sz w:val="20"/>
              </w:rPr>
            </w:pPr>
          </w:p>
        </w:tc>
        <w:tc>
          <w:tcPr>
            <w:tcW w:w="1454" w:type="dxa"/>
            <w:tcBorders>
              <w:top w:val="single" w:sz="8" w:space="0" w:color="000000"/>
            </w:tcBorders>
          </w:tcPr>
          <w:p>
            <w:pPr>
              <w:pStyle w:val="TableParagraph"/>
              <w:rPr>
                <w:rFonts w:ascii="Times New Roman"/>
                <w:sz w:val="20"/>
              </w:rPr>
            </w:pPr>
          </w:p>
        </w:tc>
      </w:tr>
      <w:tr>
        <w:trPr>
          <w:trHeight w:val="542" w:hRule="atLeast"/>
        </w:trPr>
        <w:tc>
          <w:tcPr>
            <w:tcW w:w="2758" w:type="dxa"/>
          </w:tcPr>
          <w:p>
            <w:pPr>
              <w:pStyle w:val="TableParagraph"/>
              <w:spacing w:line="254" w:lineRule="exact"/>
              <w:ind w:left="287"/>
              <w:rPr>
                <w:sz w:val="22"/>
              </w:rPr>
            </w:pPr>
            <w:r>
              <w:rPr>
                <w:sz w:val="22"/>
              </w:rPr>
              <w:t>Não</w:t>
            </w:r>
            <w:r>
              <w:rPr>
                <w:spacing w:val="-3"/>
                <w:sz w:val="22"/>
              </w:rPr>
              <w:t> </w:t>
            </w:r>
            <w:r>
              <w:rPr>
                <w:sz w:val="22"/>
              </w:rPr>
              <w:t>usuário</w:t>
            </w:r>
            <w:r>
              <w:rPr>
                <w:spacing w:val="-2"/>
                <w:sz w:val="22"/>
              </w:rPr>
              <w:t> </w:t>
            </w:r>
            <w:r>
              <w:rPr>
                <w:spacing w:val="-5"/>
                <w:sz w:val="22"/>
              </w:rPr>
              <w:t>de</w:t>
            </w:r>
          </w:p>
          <w:p>
            <w:pPr>
              <w:pStyle w:val="TableParagraph"/>
              <w:ind w:left="287"/>
              <w:rPr>
                <w:sz w:val="22"/>
              </w:rPr>
            </w:pPr>
            <w:r>
              <w:rPr>
                <w:spacing w:val="-2"/>
                <w:sz w:val="22"/>
              </w:rPr>
              <w:t>computador</w:t>
            </w:r>
          </w:p>
        </w:tc>
        <w:tc>
          <w:tcPr>
            <w:tcW w:w="2556" w:type="dxa"/>
          </w:tcPr>
          <w:p>
            <w:pPr>
              <w:pStyle w:val="TableParagraph"/>
              <w:spacing w:before="121"/>
              <w:ind w:right="136"/>
              <w:jc w:val="right"/>
              <w:rPr>
                <w:sz w:val="22"/>
              </w:rPr>
            </w:pPr>
            <w:r>
              <w:rPr>
                <w:sz w:val="22"/>
              </w:rPr>
              <w:t>61</w:t>
            </w:r>
            <w:r>
              <w:rPr>
                <w:spacing w:val="-2"/>
                <w:sz w:val="22"/>
              </w:rPr>
              <w:t> </w:t>
            </w:r>
            <w:r>
              <w:rPr>
                <w:sz w:val="22"/>
              </w:rPr>
              <w:t>117</w:t>
            </w:r>
            <w:r>
              <w:rPr>
                <w:spacing w:val="-2"/>
                <w:sz w:val="22"/>
              </w:rPr>
              <w:t> </w:t>
            </w:r>
            <w:r>
              <w:rPr>
                <w:spacing w:val="-5"/>
                <w:sz w:val="22"/>
              </w:rPr>
              <w:t>479</w:t>
            </w:r>
          </w:p>
        </w:tc>
        <w:tc>
          <w:tcPr>
            <w:tcW w:w="1847" w:type="dxa"/>
          </w:tcPr>
          <w:p>
            <w:pPr>
              <w:pStyle w:val="TableParagraph"/>
              <w:spacing w:before="121"/>
              <w:ind w:right="330"/>
              <w:jc w:val="right"/>
              <w:rPr>
                <w:sz w:val="22"/>
              </w:rPr>
            </w:pPr>
            <w:r>
              <w:rPr>
                <w:sz w:val="22"/>
              </w:rPr>
              <w:t>40.825</w:t>
            </w:r>
            <w:r>
              <w:rPr>
                <w:spacing w:val="-2"/>
                <w:sz w:val="22"/>
              </w:rPr>
              <w:t> </w:t>
            </w:r>
            <w:r>
              <w:rPr>
                <w:spacing w:val="-5"/>
                <w:sz w:val="22"/>
              </w:rPr>
              <w:t>295</w:t>
            </w:r>
          </w:p>
        </w:tc>
        <w:tc>
          <w:tcPr>
            <w:tcW w:w="1597" w:type="dxa"/>
          </w:tcPr>
          <w:p>
            <w:pPr>
              <w:pStyle w:val="TableParagraph"/>
              <w:spacing w:before="121"/>
              <w:ind w:right="275"/>
              <w:jc w:val="right"/>
              <w:rPr>
                <w:sz w:val="22"/>
              </w:rPr>
            </w:pPr>
            <w:r>
              <w:rPr>
                <w:sz w:val="22"/>
              </w:rPr>
              <w:t>36</w:t>
            </w:r>
            <w:r>
              <w:rPr>
                <w:spacing w:val="-2"/>
                <w:sz w:val="22"/>
              </w:rPr>
              <w:t> </w:t>
            </w:r>
            <w:r>
              <w:rPr>
                <w:sz w:val="22"/>
              </w:rPr>
              <w:t>806</w:t>
            </w:r>
            <w:r>
              <w:rPr>
                <w:spacing w:val="-2"/>
                <w:sz w:val="22"/>
              </w:rPr>
              <w:t> </w:t>
            </w:r>
            <w:r>
              <w:rPr>
                <w:spacing w:val="-5"/>
                <w:sz w:val="22"/>
              </w:rPr>
              <w:t>747</w:t>
            </w:r>
          </w:p>
        </w:tc>
        <w:tc>
          <w:tcPr>
            <w:tcW w:w="1454" w:type="dxa"/>
          </w:tcPr>
          <w:p>
            <w:pPr>
              <w:pStyle w:val="TableParagraph"/>
              <w:spacing w:before="121"/>
              <w:ind w:right="76"/>
              <w:jc w:val="right"/>
              <w:rPr>
                <w:sz w:val="22"/>
              </w:rPr>
            </w:pPr>
            <w:r>
              <w:rPr>
                <w:sz w:val="22"/>
              </w:rPr>
              <w:t>40.825</w:t>
            </w:r>
            <w:r>
              <w:rPr>
                <w:spacing w:val="-2"/>
                <w:sz w:val="22"/>
              </w:rPr>
              <w:t> </w:t>
            </w:r>
            <w:r>
              <w:rPr>
                <w:spacing w:val="-5"/>
                <w:sz w:val="22"/>
              </w:rPr>
              <w:t>295</w:t>
            </w:r>
          </w:p>
        </w:tc>
      </w:tr>
      <w:tr>
        <w:trPr>
          <w:trHeight w:val="521" w:hRule="atLeast"/>
        </w:trPr>
        <w:tc>
          <w:tcPr>
            <w:tcW w:w="2758" w:type="dxa"/>
            <w:tcBorders>
              <w:bottom w:val="single" w:sz="8" w:space="0" w:color="000000"/>
            </w:tcBorders>
          </w:tcPr>
          <w:p>
            <w:pPr>
              <w:pStyle w:val="TableParagraph"/>
              <w:spacing w:line="248" w:lineRule="exact"/>
              <w:ind w:left="287"/>
              <w:rPr>
                <w:sz w:val="22"/>
              </w:rPr>
            </w:pPr>
            <w:r>
              <w:rPr>
                <w:sz w:val="22"/>
              </w:rPr>
              <w:t>Usuário</w:t>
            </w:r>
            <w:r>
              <w:rPr>
                <w:spacing w:val="-4"/>
                <w:sz w:val="22"/>
              </w:rPr>
              <w:t> </w:t>
            </w:r>
            <w:r>
              <w:rPr>
                <w:sz w:val="22"/>
              </w:rPr>
              <w:t>de</w:t>
            </w:r>
            <w:r>
              <w:rPr>
                <w:spacing w:val="-3"/>
                <w:sz w:val="22"/>
              </w:rPr>
              <w:t> </w:t>
            </w:r>
            <w:r>
              <w:rPr>
                <w:spacing w:val="-2"/>
                <w:sz w:val="22"/>
              </w:rPr>
              <w:t>computador</w:t>
            </w:r>
          </w:p>
          <w:p>
            <w:pPr>
              <w:pStyle w:val="TableParagraph"/>
              <w:spacing w:line="249" w:lineRule="exact" w:before="3"/>
              <w:ind w:left="287"/>
              <w:rPr>
                <w:sz w:val="22"/>
              </w:rPr>
            </w:pPr>
            <w:r>
              <w:rPr>
                <w:sz w:val="22"/>
              </w:rPr>
              <w:t>(menos</w:t>
            </w:r>
            <w:r>
              <w:rPr>
                <w:spacing w:val="-2"/>
                <w:sz w:val="22"/>
              </w:rPr>
              <w:t> </w:t>
            </w:r>
            <w:r>
              <w:rPr>
                <w:sz w:val="22"/>
              </w:rPr>
              <w:t>de</w:t>
            </w:r>
            <w:r>
              <w:rPr>
                <w:spacing w:val="-3"/>
                <w:sz w:val="22"/>
              </w:rPr>
              <w:t> </w:t>
            </w:r>
            <w:r>
              <w:rPr>
                <w:sz w:val="22"/>
              </w:rPr>
              <w:t>3</w:t>
            </w:r>
            <w:r>
              <w:rPr>
                <w:spacing w:val="-3"/>
                <w:sz w:val="22"/>
              </w:rPr>
              <w:t> </w:t>
            </w:r>
            <w:r>
              <w:rPr>
                <w:spacing w:val="-2"/>
                <w:sz w:val="22"/>
              </w:rPr>
              <w:t>meses)</w:t>
            </w:r>
          </w:p>
        </w:tc>
        <w:tc>
          <w:tcPr>
            <w:tcW w:w="2556" w:type="dxa"/>
            <w:tcBorders>
              <w:bottom w:val="single" w:sz="8" w:space="0" w:color="000000"/>
            </w:tcBorders>
          </w:tcPr>
          <w:p>
            <w:pPr>
              <w:pStyle w:val="TableParagraph"/>
              <w:spacing w:before="115"/>
              <w:ind w:right="136"/>
              <w:jc w:val="right"/>
              <w:rPr>
                <w:sz w:val="22"/>
              </w:rPr>
            </w:pPr>
            <w:r>
              <w:rPr>
                <w:sz w:val="22"/>
              </w:rPr>
              <w:t>60</w:t>
            </w:r>
            <w:r>
              <w:rPr>
                <w:spacing w:val="-2"/>
                <w:sz w:val="22"/>
              </w:rPr>
              <w:t> </w:t>
            </w:r>
            <w:r>
              <w:rPr>
                <w:sz w:val="22"/>
              </w:rPr>
              <w:t>358</w:t>
            </w:r>
            <w:r>
              <w:rPr>
                <w:spacing w:val="-2"/>
                <w:sz w:val="22"/>
              </w:rPr>
              <w:t> </w:t>
            </w:r>
            <w:r>
              <w:rPr>
                <w:spacing w:val="-5"/>
                <w:sz w:val="22"/>
              </w:rPr>
              <w:t>242</w:t>
            </w:r>
          </w:p>
        </w:tc>
        <w:tc>
          <w:tcPr>
            <w:tcW w:w="1847" w:type="dxa"/>
            <w:tcBorders>
              <w:bottom w:val="single" w:sz="8" w:space="0" w:color="000000"/>
            </w:tcBorders>
          </w:tcPr>
          <w:p>
            <w:pPr>
              <w:pStyle w:val="TableParagraph"/>
              <w:spacing w:before="115"/>
              <w:ind w:right="330"/>
              <w:jc w:val="right"/>
              <w:rPr>
                <w:sz w:val="22"/>
              </w:rPr>
            </w:pPr>
            <w:r>
              <w:rPr>
                <w:sz w:val="22"/>
              </w:rPr>
              <w:t>60</w:t>
            </w:r>
            <w:r>
              <w:rPr>
                <w:spacing w:val="-2"/>
                <w:sz w:val="22"/>
              </w:rPr>
              <w:t> </w:t>
            </w:r>
            <w:r>
              <w:rPr>
                <w:sz w:val="22"/>
              </w:rPr>
              <w:t>350</w:t>
            </w:r>
            <w:r>
              <w:rPr>
                <w:spacing w:val="-2"/>
                <w:sz w:val="22"/>
              </w:rPr>
              <w:t> </w:t>
            </w:r>
            <w:r>
              <w:rPr>
                <w:spacing w:val="-5"/>
                <w:sz w:val="22"/>
              </w:rPr>
              <w:t>714</w:t>
            </w:r>
          </w:p>
        </w:tc>
        <w:tc>
          <w:tcPr>
            <w:tcW w:w="1597" w:type="dxa"/>
            <w:tcBorders>
              <w:bottom w:val="single" w:sz="8" w:space="0" w:color="000000"/>
            </w:tcBorders>
          </w:tcPr>
          <w:p>
            <w:pPr>
              <w:pStyle w:val="TableParagraph"/>
              <w:spacing w:before="115"/>
              <w:ind w:right="275"/>
              <w:jc w:val="right"/>
              <w:rPr>
                <w:sz w:val="22"/>
              </w:rPr>
            </w:pPr>
            <w:r>
              <w:rPr>
                <w:sz w:val="22"/>
              </w:rPr>
              <w:t>60</w:t>
            </w:r>
            <w:r>
              <w:rPr>
                <w:spacing w:val="-2"/>
                <w:sz w:val="22"/>
              </w:rPr>
              <w:t> </w:t>
            </w:r>
            <w:r>
              <w:rPr>
                <w:sz w:val="22"/>
              </w:rPr>
              <w:t>347</w:t>
            </w:r>
            <w:r>
              <w:rPr>
                <w:spacing w:val="-2"/>
                <w:sz w:val="22"/>
              </w:rPr>
              <w:t> </w:t>
            </w:r>
            <w:r>
              <w:rPr>
                <w:spacing w:val="-5"/>
                <w:sz w:val="22"/>
              </w:rPr>
              <w:t>909</w:t>
            </w:r>
          </w:p>
        </w:tc>
        <w:tc>
          <w:tcPr>
            <w:tcW w:w="1454" w:type="dxa"/>
            <w:tcBorders>
              <w:bottom w:val="single" w:sz="8" w:space="0" w:color="000000"/>
            </w:tcBorders>
          </w:tcPr>
          <w:p>
            <w:pPr>
              <w:pStyle w:val="TableParagraph"/>
              <w:spacing w:before="115"/>
              <w:ind w:right="76"/>
              <w:jc w:val="right"/>
              <w:rPr>
                <w:sz w:val="22"/>
              </w:rPr>
            </w:pPr>
            <w:r>
              <w:rPr>
                <w:sz w:val="22"/>
              </w:rPr>
              <w:t>60</w:t>
            </w:r>
            <w:r>
              <w:rPr>
                <w:spacing w:val="-2"/>
                <w:sz w:val="22"/>
              </w:rPr>
              <w:t> </w:t>
            </w:r>
            <w:r>
              <w:rPr>
                <w:sz w:val="22"/>
              </w:rPr>
              <w:t>350</w:t>
            </w:r>
            <w:r>
              <w:rPr>
                <w:spacing w:val="-2"/>
                <w:sz w:val="22"/>
              </w:rPr>
              <w:t> </w:t>
            </w:r>
            <w:r>
              <w:rPr>
                <w:spacing w:val="-5"/>
                <w:sz w:val="22"/>
              </w:rPr>
              <w:t>714</w:t>
            </w:r>
          </w:p>
        </w:tc>
      </w:tr>
      <w:tr>
        <w:trPr>
          <w:trHeight w:val="307" w:hRule="atLeast"/>
        </w:trPr>
        <w:tc>
          <w:tcPr>
            <w:tcW w:w="2758" w:type="dxa"/>
            <w:tcBorders>
              <w:top w:val="single" w:sz="8" w:space="0" w:color="000000"/>
            </w:tcBorders>
          </w:tcPr>
          <w:p>
            <w:pPr>
              <w:pStyle w:val="TableParagraph"/>
              <w:spacing w:before="6"/>
              <w:ind w:left="67"/>
              <w:rPr>
                <w:b/>
                <w:sz w:val="22"/>
              </w:rPr>
            </w:pPr>
            <w:r>
              <w:rPr>
                <w:b/>
                <w:sz w:val="22"/>
              </w:rPr>
              <w:t>Faixa</w:t>
            </w:r>
            <w:r>
              <w:rPr>
                <w:b/>
                <w:spacing w:val="-5"/>
                <w:sz w:val="22"/>
              </w:rPr>
              <w:t> </w:t>
            </w:r>
            <w:r>
              <w:rPr>
                <w:b/>
                <w:spacing w:val="-2"/>
                <w:sz w:val="22"/>
              </w:rPr>
              <w:t>Etária</w:t>
            </w:r>
          </w:p>
        </w:tc>
        <w:tc>
          <w:tcPr>
            <w:tcW w:w="2556" w:type="dxa"/>
            <w:tcBorders>
              <w:top w:val="single" w:sz="8" w:space="0" w:color="000000"/>
            </w:tcBorders>
          </w:tcPr>
          <w:p>
            <w:pPr>
              <w:pStyle w:val="TableParagraph"/>
              <w:rPr>
                <w:rFonts w:ascii="Times New Roman"/>
                <w:sz w:val="20"/>
              </w:rPr>
            </w:pPr>
          </w:p>
        </w:tc>
        <w:tc>
          <w:tcPr>
            <w:tcW w:w="1847" w:type="dxa"/>
            <w:tcBorders>
              <w:top w:val="single" w:sz="8" w:space="0" w:color="000000"/>
            </w:tcBorders>
          </w:tcPr>
          <w:p>
            <w:pPr>
              <w:pStyle w:val="TableParagraph"/>
              <w:rPr>
                <w:rFonts w:ascii="Times New Roman"/>
                <w:sz w:val="20"/>
              </w:rPr>
            </w:pPr>
          </w:p>
        </w:tc>
        <w:tc>
          <w:tcPr>
            <w:tcW w:w="1597" w:type="dxa"/>
            <w:tcBorders>
              <w:top w:val="single" w:sz="8" w:space="0" w:color="000000"/>
            </w:tcBorders>
          </w:tcPr>
          <w:p>
            <w:pPr>
              <w:pStyle w:val="TableParagraph"/>
              <w:rPr>
                <w:rFonts w:ascii="Times New Roman"/>
                <w:sz w:val="20"/>
              </w:rPr>
            </w:pPr>
          </w:p>
        </w:tc>
        <w:tc>
          <w:tcPr>
            <w:tcW w:w="1454" w:type="dxa"/>
            <w:tcBorders>
              <w:top w:val="single" w:sz="8" w:space="0" w:color="000000"/>
            </w:tcBorders>
          </w:tcPr>
          <w:p>
            <w:pPr>
              <w:pStyle w:val="TableParagraph"/>
              <w:rPr>
                <w:rFonts w:ascii="Times New Roman"/>
                <w:sz w:val="20"/>
              </w:rPr>
            </w:pPr>
          </w:p>
        </w:tc>
      </w:tr>
      <w:tr>
        <w:trPr>
          <w:trHeight w:val="290" w:hRule="atLeast"/>
        </w:trPr>
        <w:tc>
          <w:tcPr>
            <w:tcW w:w="2758" w:type="dxa"/>
          </w:tcPr>
          <w:p>
            <w:pPr>
              <w:pStyle w:val="TableParagraph"/>
              <w:spacing w:line="260" w:lineRule="exact"/>
              <w:ind w:left="287"/>
              <w:rPr>
                <w:sz w:val="22"/>
              </w:rPr>
            </w:pPr>
            <w:r>
              <w:rPr>
                <w:sz w:val="22"/>
              </w:rPr>
              <w:t>De</w:t>
            </w:r>
            <w:r>
              <w:rPr>
                <w:spacing w:val="-6"/>
                <w:sz w:val="22"/>
              </w:rPr>
              <w:t> </w:t>
            </w:r>
            <w:r>
              <w:rPr>
                <w:sz w:val="22"/>
              </w:rPr>
              <w:t>16</w:t>
            </w:r>
            <w:r>
              <w:rPr>
                <w:spacing w:val="-2"/>
                <w:sz w:val="22"/>
              </w:rPr>
              <w:t> </w:t>
            </w:r>
            <w:r>
              <w:rPr>
                <w:sz w:val="22"/>
              </w:rPr>
              <w:t>a 24</w:t>
            </w:r>
            <w:r>
              <w:rPr>
                <w:spacing w:val="-2"/>
                <w:sz w:val="22"/>
              </w:rPr>
              <w:t> </w:t>
            </w:r>
            <w:r>
              <w:rPr>
                <w:spacing w:val="-4"/>
                <w:sz w:val="22"/>
              </w:rPr>
              <w:t>anos</w:t>
            </w:r>
          </w:p>
        </w:tc>
        <w:tc>
          <w:tcPr>
            <w:tcW w:w="2556" w:type="dxa"/>
          </w:tcPr>
          <w:p>
            <w:pPr>
              <w:pStyle w:val="TableParagraph"/>
              <w:spacing w:line="260" w:lineRule="exact"/>
              <w:ind w:right="136"/>
              <w:jc w:val="right"/>
              <w:rPr>
                <w:sz w:val="22"/>
              </w:rPr>
            </w:pPr>
            <w:r>
              <w:rPr>
                <w:sz w:val="22"/>
              </w:rPr>
              <w:t>30</w:t>
            </w:r>
            <w:r>
              <w:rPr>
                <w:spacing w:val="-2"/>
                <w:sz w:val="22"/>
              </w:rPr>
              <w:t> </w:t>
            </w:r>
            <w:r>
              <w:rPr>
                <w:sz w:val="22"/>
              </w:rPr>
              <w:t>745</w:t>
            </w:r>
            <w:r>
              <w:rPr>
                <w:spacing w:val="-2"/>
                <w:sz w:val="22"/>
              </w:rPr>
              <w:t> </w:t>
            </w:r>
            <w:r>
              <w:rPr>
                <w:spacing w:val="-5"/>
                <w:sz w:val="22"/>
              </w:rPr>
              <w:t>323</w:t>
            </w:r>
          </w:p>
        </w:tc>
        <w:tc>
          <w:tcPr>
            <w:tcW w:w="1847" w:type="dxa"/>
          </w:tcPr>
          <w:p>
            <w:pPr>
              <w:pStyle w:val="TableParagraph"/>
              <w:spacing w:line="260" w:lineRule="exact"/>
              <w:ind w:right="330"/>
              <w:jc w:val="right"/>
              <w:rPr>
                <w:sz w:val="22"/>
              </w:rPr>
            </w:pPr>
            <w:r>
              <w:rPr>
                <w:sz w:val="22"/>
              </w:rPr>
              <w:t>30</w:t>
            </w:r>
            <w:r>
              <w:rPr>
                <w:spacing w:val="-2"/>
                <w:sz w:val="22"/>
              </w:rPr>
              <w:t> </w:t>
            </w:r>
            <w:r>
              <w:rPr>
                <w:sz w:val="22"/>
              </w:rPr>
              <w:t>677</w:t>
            </w:r>
            <w:r>
              <w:rPr>
                <w:spacing w:val="-2"/>
                <w:sz w:val="22"/>
              </w:rPr>
              <w:t> </w:t>
            </w:r>
            <w:r>
              <w:rPr>
                <w:spacing w:val="-5"/>
                <w:sz w:val="22"/>
              </w:rPr>
              <w:t>229</w:t>
            </w:r>
          </w:p>
        </w:tc>
        <w:tc>
          <w:tcPr>
            <w:tcW w:w="1597" w:type="dxa"/>
          </w:tcPr>
          <w:p>
            <w:pPr>
              <w:pStyle w:val="TableParagraph"/>
              <w:spacing w:line="260" w:lineRule="exact"/>
              <w:ind w:right="275"/>
              <w:jc w:val="right"/>
              <w:rPr>
                <w:sz w:val="22"/>
              </w:rPr>
            </w:pPr>
            <w:r>
              <w:rPr>
                <w:sz w:val="22"/>
              </w:rPr>
              <w:t>30</w:t>
            </w:r>
            <w:r>
              <w:rPr>
                <w:spacing w:val="-2"/>
                <w:sz w:val="22"/>
              </w:rPr>
              <w:t> </w:t>
            </w:r>
            <w:r>
              <w:rPr>
                <w:sz w:val="22"/>
              </w:rPr>
              <w:t>672</w:t>
            </w:r>
            <w:r>
              <w:rPr>
                <w:spacing w:val="-2"/>
                <w:sz w:val="22"/>
              </w:rPr>
              <w:t> </w:t>
            </w:r>
            <w:r>
              <w:rPr>
                <w:spacing w:val="-5"/>
                <w:sz w:val="22"/>
              </w:rPr>
              <w:t>190</w:t>
            </w:r>
          </w:p>
        </w:tc>
        <w:tc>
          <w:tcPr>
            <w:tcW w:w="1454" w:type="dxa"/>
          </w:tcPr>
          <w:p>
            <w:pPr>
              <w:pStyle w:val="TableParagraph"/>
              <w:spacing w:line="260" w:lineRule="exact"/>
              <w:ind w:right="76"/>
              <w:jc w:val="right"/>
              <w:rPr>
                <w:sz w:val="22"/>
              </w:rPr>
            </w:pPr>
            <w:r>
              <w:rPr>
                <w:sz w:val="22"/>
              </w:rPr>
              <w:t>30</w:t>
            </w:r>
            <w:r>
              <w:rPr>
                <w:spacing w:val="-2"/>
                <w:sz w:val="22"/>
              </w:rPr>
              <w:t> </w:t>
            </w:r>
            <w:r>
              <w:rPr>
                <w:sz w:val="22"/>
              </w:rPr>
              <w:t>677</w:t>
            </w:r>
            <w:r>
              <w:rPr>
                <w:spacing w:val="-2"/>
                <w:sz w:val="22"/>
              </w:rPr>
              <w:t> </w:t>
            </w:r>
            <w:r>
              <w:rPr>
                <w:spacing w:val="-5"/>
                <w:sz w:val="22"/>
              </w:rPr>
              <w:t>229</w:t>
            </w:r>
          </w:p>
        </w:tc>
      </w:tr>
      <w:tr>
        <w:trPr>
          <w:trHeight w:val="290" w:hRule="atLeast"/>
        </w:trPr>
        <w:tc>
          <w:tcPr>
            <w:tcW w:w="2758" w:type="dxa"/>
          </w:tcPr>
          <w:p>
            <w:pPr>
              <w:pStyle w:val="TableParagraph"/>
              <w:spacing w:line="258" w:lineRule="exact"/>
              <w:ind w:left="287"/>
              <w:rPr>
                <w:sz w:val="22"/>
              </w:rPr>
            </w:pPr>
            <w:r>
              <w:rPr>
                <w:sz w:val="22"/>
              </w:rPr>
              <w:t>De</w:t>
            </w:r>
            <w:r>
              <w:rPr>
                <w:spacing w:val="-6"/>
                <w:sz w:val="22"/>
              </w:rPr>
              <w:t> </w:t>
            </w:r>
            <w:r>
              <w:rPr>
                <w:sz w:val="22"/>
              </w:rPr>
              <w:t>25</w:t>
            </w:r>
            <w:r>
              <w:rPr>
                <w:spacing w:val="-2"/>
                <w:sz w:val="22"/>
              </w:rPr>
              <w:t> </w:t>
            </w:r>
            <w:r>
              <w:rPr>
                <w:sz w:val="22"/>
              </w:rPr>
              <w:t>a 34</w:t>
            </w:r>
            <w:r>
              <w:rPr>
                <w:spacing w:val="-2"/>
                <w:sz w:val="22"/>
              </w:rPr>
              <w:t> </w:t>
            </w:r>
            <w:r>
              <w:rPr>
                <w:spacing w:val="-4"/>
                <w:sz w:val="22"/>
              </w:rPr>
              <w:t>anos</w:t>
            </w:r>
          </w:p>
        </w:tc>
        <w:tc>
          <w:tcPr>
            <w:tcW w:w="2556" w:type="dxa"/>
          </w:tcPr>
          <w:p>
            <w:pPr>
              <w:pStyle w:val="TableParagraph"/>
              <w:spacing w:line="258" w:lineRule="exact"/>
              <w:ind w:right="136"/>
              <w:jc w:val="right"/>
              <w:rPr>
                <w:sz w:val="22"/>
              </w:rPr>
            </w:pPr>
            <w:r>
              <w:rPr>
                <w:sz w:val="22"/>
              </w:rPr>
              <w:t>29</w:t>
            </w:r>
            <w:r>
              <w:rPr>
                <w:spacing w:val="-2"/>
                <w:sz w:val="22"/>
              </w:rPr>
              <w:t> </w:t>
            </w:r>
            <w:r>
              <w:rPr>
                <w:sz w:val="22"/>
              </w:rPr>
              <w:t>151</w:t>
            </w:r>
            <w:r>
              <w:rPr>
                <w:spacing w:val="-2"/>
                <w:sz w:val="22"/>
              </w:rPr>
              <w:t> </w:t>
            </w:r>
            <w:r>
              <w:rPr>
                <w:spacing w:val="-5"/>
                <w:sz w:val="22"/>
              </w:rPr>
              <w:t>958</w:t>
            </w:r>
          </w:p>
        </w:tc>
        <w:tc>
          <w:tcPr>
            <w:tcW w:w="1847" w:type="dxa"/>
          </w:tcPr>
          <w:p>
            <w:pPr>
              <w:pStyle w:val="TableParagraph"/>
              <w:spacing w:line="258" w:lineRule="exact"/>
              <w:ind w:right="330"/>
              <w:jc w:val="right"/>
              <w:rPr>
                <w:sz w:val="22"/>
              </w:rPr>
            </w:pPr>
            <w:r>
              <w:rPr>
                <w:sz w:val="22"/>
              </w:rPr>
              <w:t>28</w:t>
            </w:r>
            <w:r>
              <w:rPr>
                <w:spacing w:val="-2"/>
                <w:sz w:val="22"/>
              </w:rPr>
              <w:t> </w:t>
            </w:r>
            <w:r>
              <w:rPr>
                <w:sz w:val="22"/>
              </w:rPr>
              <w:t>134</w:t>
            </w:r>
            <w:r>
              <w:rPr>
                <w:spacing w:val="-2"/>
                <w:sz w:val="22"/>
              </w:rPr>
              <w:t> </w:t>
            </w:r>
            <w:r>
              <w:rPr>
                <w:spacing w:val="-5"/>
                <w:sz w:val="22"/>
              </w:rPr>
              <w:t>975</w:t>
            </w:r>
          </w:p>
        </w:tc>
        <w:tc>
          <w:tcPr>
            <w:tcW w:w="1597" w:type="dxa"/>
          </w:tcPr>
          <w:p>
            <w:pPr>
              <w:pStyle w:val="TableParagraph"/>
              <w:spacing w:line="258" w:lineRule="exact"/>
              <w:ind w:right="275"/>
              <w:jc w:val="right"/>
              <w:rPr>
                <w:sz w:val="22"/>
              </w:rPr>
            </w:pPr>
            <w:r>
              <w:rPr>
                <w:sz w:val="22"/>
              </w:rPr>
              <w:t>27</w:t>
            </w:r>
            <w:r>
              <w:rPr>
                <w:spacing w:val="-2"/>
                <w:sz w:val="22"/>
              </w:rPr>
              <w:t> </w:t>
            </w:r>
            <w:r>
              <w:rPr>
                <w:sz w:val="22"/>
              </w:rPr>
              <w:t>051</w:t>
            </w:r>
            <w:r>
              <w:rPr>
                <w:spacing w:val="-2"/>
                <w:sz w:val="22"/>
              </w:rPr>
              <w:t> </w:t>
            </w:r>
            <w:r>
              <w:rPr>
                <w:spacing w:val="-5"/>
                <w:sz w:val="22"/>
              </w:rPr>
              <w:t>411</w:t>
            </w:r>
          </w:p>
        </w:tc>
        <w:tc>
          <w:tcPr>
            <w:tcW w:w="1454" w:type="dxa"/>
          </w:tcPr>
          <w:p>
            <w:pPr>
              <w:pStyle w:val="TableParagraph"/>
              <w:spacing w:line="258" w:lineRule="exact"/>
              <w:ind w:right="76"/>
              <w:jc w:val="right"/>
              <w:rPr>
                <w:sz w:val="22"/>
              </w:rPr>
            </w:pPr>
            <w:r>
              <w:rPr>
                <w:sz w:val="22"/>
              </w:rPr>
              <w:t>28</w:t>
            </w:r>
            <w:r>
              <w:rPr>
                <w:spacing w:val="-2"/>
                <w:sz w:val="22"/>
              </w:rPr>
              <w:t> </w:t>
            </w:r>
            <w:r>
              <w:rPr>
                <w:sz w:val="22"/>
              </w:rPr>
              <w:t>134</w:t>
            </w:r>
            <w:r>
              <w:rPr>
                <w:spacing w:val="-2"/>
                <w:sz w:val="22"/>
              </w:rPr>
              <w:t> </w:t>
            </w:r>
            <w:r>
              <w:rPr>
                <w:spacing w:val="-5"/>
                <w:sz w:val="22"/>
              </w:rPr>
              <w:t>975</w:t>
            </w:r>
          </w:p>
        </w:tc>
      </w:tr>
      <w:tr>
        <w:trPr>
          <w:trHeight w:val="290" w:hRule="atLeast"/>
        </w:trPr>
        <w:tc>
          <w:tcPr>
            <w:tcW w:w="2758" w:type="dxa"/>
          </w:tcPr>
          <w:p>
            <w:pPr>
              <w:pStyle w:val="TableParagraph"/>
              <w:spacing w:line="260" w:lineRule="exact"/>
              <w:ind w:left="287"/>
              <w:rPr>
                <w:sz w:val="22"/>
              </w:rPr>
            </w:pPr>
            <w:r>
              <w:rPr>
                <w:sz w:val="22"/>
              </w:rPr>
              <w:t>De</w:t>
            </w:r>
            <w:r>
              <w:rPr>
                <w:spacing w:val="-6"/>
                <w:sz w:val="22"/>
              </w:rPr>
              <w:t> </w:t>
            </w:r>
            <w:r>
              <w:rPr>
                <w:sz w:val="22"/>
              </w:rPr>
              <w:t>35</w:t>
            </w:r>
            <w:r>
              <w:rPr>
                <w:spacing w:val="-2"/>
                <w:sz w:val="22"/>
              </w:rPr>
              <w:t> </w:t>
            </w:r>
            <w:r>
              <w:rPr>
                <w:sz w:val="22"/>
              </w:rPr>
              <w:t>a 44</w:t>
            </w:r>
            <w:r>
              <w:rPr>
                <w:spacing w:val="-2"/>
                <w:sz w:val="22"/>
              </w:rPr>
              <w:t> </w:t>
            </w:r>
            <w:r>
              <w:rPr>
                <w:spacing w:val="-4"/>
                <w:sz w:val="22"/>
              </w:rPr>
              <w:t>anos</w:t>
            </w:r>
          </w:p>
        </w:tc>
        <w:tc>
          <w:tcPr>
            <w:tcW w:w="2556" w:type="dxa"/>
          </w:tcPr>
          <w:p>
            <w:pPr>
              <w:pStyle w:val="TableParagraph"/>
              <w:spacing w:line="260" w:lineRule="exact"/>
              <w:ind w:right="136"/>
              <w:jc w:val="right"/>
              <w:rPr>
                <w:sz w:val="22"/>
              </w:rPr>
            </w:pPr>
            <w:r>
              <w:rPr>
                <w:sz w:val="22"/>
              </w:rPr>
              <w:t>26</w:t>
            </w:r>
            <w:r>
              <w:rPr>
                <w:spacing w:val="-2"/>
                <w:sz w:val="22"/>
              </w:rPr>
              <w:t> </w:t>
            </w:r>
            <w:r>
              <w:rPr>
                <w:sz w:val="22"/>
              </w:rPr>
              <w:t>345</w:t>
            </w:r>
            <w:r>
              <w:rPr>
                <w:spacing w:val="-2"/>
                <w:sz w:val="22"/>
              </w:rPr>
              <w:t> </w:t>
            </w:r>
            <w:r>
              <w:rPr>
                <w:spacing w:val="-5"/>
                <w:sz w:val="22"/>
              </w:rPr>
              <w:t>229</w:t>
            </w:r>
          </w:p>
        </w:tc>
        <w:tc>
          <w:tcPr>
            <w:tcW w:w="1847" w:type="dxa"/>
          </w:tcPr>
          <w:p>
            <w:pPr>
              <w:pStyle w:val="TableParagraph"/>
              <w:spacing w:line="260" w:lineRule="exact"/>
              <w:ind w:right="330"/>
              <w:jc w:val="right"/>
              <w:rPr>
                <w:sz w:val="22"/>
              </w:rPr>
            </w:pPr>
            <w:r>
              <w:rPr>
                <w:sz w:val="22"/>
              </w:rPr>
              <w:t>22</w:t>
            </w:r>
            <w:r>
              <w:rPr>
                <w:spacing w:val="-2"/>
                <w:sz w:val="22"/>
              </w:rPr>
              <w:t> </w:t>
            </w:r>
            <w:r>
              <w:rPr>
                <w:sz w:val="22"/>
              </w:rPr>
              <w:t>278</w:t>
            </w:r>
            <w:r>
              <w:rPr>
                <w:spacing w:val="-2"/>
                <w:sz w:val="22"/>
              </w:rPr>
              <w:t> </w:t>
            </w:r>
            <w:r>
              <w:rPr>
                <w:spacing w:val="-5"/>
                <w:sz w:val="22"/>
              </w:rPr>
              <w:t>737</w:t>
            </w:r>
          </w:p>
        </w:tc>
        <w:tc>
          <w:tcPr>
            <w:tcW w:w="1597" w:type="dxa"/>
          </w:tcPr>
          <w:p>
            <w:pPr>
              <w:pStyle w:val="TableParagraph"/>
              <w:spacing w:line="260" w:lineRule="exact"/>
              <w:ind w:right="275"/>
              <w:jc w:val="right"/>
              <w:rPr>
                <w:sz w:val="22"/>
              </w:rPr>
            </w:pPr>
            <w:r>
              <w:rPr>
                <w:sz w:val="22"/>
              </w:rPr>
              <w:t>21</w:t>
            </w:r>
            <w:r>
              <w:rPr>
                <w:spacing w:val="-2"/>
                <w:sz w:val="22"/>
              </w:rPr>
              <w:t> </w:t>
            </w:r>
            <w:r>
              <w:rPr>
                <w:sz w:val="22"/>
              </w:rPr>
              <w:t>010</w:t>
            </w:r>
            <w:r>
              <w:rPr>
                <w:spacing w:val="-2"/>
                <w:sz w:val="22"/>
              </w:rPr>
              <w:t> </w:t>
            </w:r>
            <w:r>
              <w:rPr>
                <w:spacing w:val="-5"/>
                <w:sz w:val="22"/>
              </w:rPr>
              <w:t>437</w:t>
            </w:r>
          </w:p>
        </w:tc>
        <w:tc>
          <w:tcPr>
            <w:tcW w:w="1454" w:type="dxa"/>
          </w:tcPr>
          <w:p>
            <w:pPr>
              <w:pStyle w:val="TableParagraph"/>
              <w:spacing w:line="260" w:lineRule="exact"/>
              <w:ind w:right="76"/>
              <w:jc w:val="right"/>
              <w:rPr>
                <w:sz w:val="22"/>
              </w:rPr>
            </w:pPr>
            <w:r>
              <w:rPr>
                <w:sz w:val="22"/>
              </w:rPr>
              <w:t>22</w:t>
            </w:r>
            <w:r>
              <w:rPr>
                <w:spacing w:val="-2"/>
                <w:sz w:val="22"/>
              </w:rPr>
              <w:t> </w:t>
            </w:r>
            <w:r>
              <w:rPr>
                <w:sz w:val="22"/>
              </w:rPr>
              <w:t>278</w:t>
            </w:r>
            <w:r>
              <w:rPr>
                <w:spacing w:val="-2"/>
                <w:sz w:val="22"/>
              </w:rPr>
              <w:t> </w:t>
            </w:r>
            <w:r>
              <w:rPr>
                <w:spacing w:val="-5"/>
                <w:sz w:val="22"/>
              </w:rPr>
              <w:t>737</w:t>
            </w:r>
          </w:p>
        </w:tc>
      </w:tr>
      <w:tr>
        <w:trPr>
          <w:trHeight w:val="292" w:hRule="atLeast"/>
        </w:trPr>
        <w:tc>
          <w:tcPr>
            <w:tcW w:w="2758" w:type="dxa"/>
          </w:tcPr>
          <w:p>
            <w:pPr>
              <w:pStyle w:val="TableParagraph"/>
              <w:spacing w:line="258" w:lineRule="exact"/>
              <w:ind w:left="287"/>
              <w:rPr>
                <w:sz w:val="22"/>
              </w:rPr>
            </w:pPr>
            <w:r>
              <w:rPr>
                <w:sz w:val="22"/>
              </w:rPr>
              <w:t>De</w:t>
            </w:r>
            <w:r>
              <w:rPr>
                <w:spacing w:val="-6"/>
                <w:sz w:val="22"/>
              </w:rPr>
              <w:t> </w:t>
            </w:r>
            <w:r>
              <w:rPr>
                <w:sz w:val="22"/>
              </w:rPr>
              <w:t>45</w:t>
            </w:r>
            <w:r>
              <w:rPr>
                <w:spacing w:val="-2"/>
                <w:sz w:val="22"/>
              </w:rPr>
              <w:t> </w:t>
            </w:r>
            <w:r>
              <w:rPr>
                <w:sz w:val="22"/>
              </w:rPr>
              <w:t>a 59</w:t>
            </w:r>
            <w:r>
              <w:rPr>
                <w:spacing w:val="-2"/>
                <w:sz w:val="22"/>
              </w:rPr>
              <w:t> </w:t>
            </w:r>
            <w:r>
              <w:rPr>
                <w:spacing w:val="-4"/>
                <w:sz w:val="22"/>
              </w:rPr>
              <w:t>anos</w:t>
            </w:r>
          </w:p>
        </w:tc>
        <w:tc>
          <w:tcPr>
            <w:tcW w:w="2556" w:type="dxa"/>
          </w:tcPr>
          <w:p>
            <w:pPr>
              <w:pStyle w:val="TableParagraph"/>
              <w:spacing w:line="258" w:lineRule="exact"/>
              <w:ind w:right="136"/>
              <w:jc w:val="right"/>
              <w:rPr>
                <w:sz w:val="22"/>
              </w:rPr>
            </w:pPr>
            <w:r>
              <w:rPr>
                <w:sz w:val="22"/>
              </w:rPr>
              <w:t>25</w:t>
            </w:r>
            <w:r>
              <w:rPr>
                <w:spacing w:val="-2"/>
                <w:sz w:val="22"/>
              </w:rPr>
              <w:t> </w:t>
            </w:r>
            <w:r>
              <w:rPr>
                <w:sz w:val="22"/>
              </w:rPr>
              <w:t>515</w:t>
            </w:r>
            <w:r>
              <w:rPr>
                <w:spacing w:val="-2"/>
                <w:sz w:val="22"/>
              </w:rPr>
              <w:t> </w:t>
            </w:r>
            <w:r>
              <w:rPr>
                <w:spacing w:val="-5"/>
                <w:sz w:val="22"/>
              </w:rPr>
              <w:t>249</w:t>
            </w:r>
          </w:p>
        </w:tc>
        <w:tc>
          <w:tcPr>
            <w:tcW w:w="1847" w:type="dxa"/>
          </w:tcPr>
          <w:p>
            <w:pPr>
              <w:pStyle w:val="TableParagraph"/>
              <w:spacing w:line="258" w:lineRule="exact"/>
              <w:ind w:right="330"/>
              <w:jc w:val="right"/>
              <w:rPr>
                <w:sz w:val="22"/>
              </w:rPr>
            </w:pPr>
            <w:r>
              <w:rPr>
                <w:sz w:val="22"/>
              </w:rPr>
              <w:t>15</w:t>
            </w:r>
            <w:r>
              <w:rPr>
                <w:spacing w:val="-2"/>
                <w:sz w:val="22"/>
              </w:rPr>
              <w:t> </w:t>
            </w:r>
            <w:r>
              <w:rPr>
                <w:sz w:val="22"/>
              </w:rPr>
              <w:t>993</w:t>
            </w:r>
            <w:r>
              <w:rPr>
                <w:spacing w:val="-2"/>
                <w:sz w:val="22"/>
              </w:rPr>
              <w:t> </w:t>
            </w:r>
            <w:r>
              <w:rPr>
                <w:spacing w:val="-5"/>
                <w:sz w:val="22"/>
              </w:rPr>
              <w:t>718</w:t>
            </w:r>
          </w:p>
        </w:tc>
        <w:tc>
          <w:tcPr>
            <w:tcW w:w="1597" w:type="dxa"/>
          </w:tcPr>
          <w:p>
            <w:pPr>
              <w:pStyle w:val="TableParagraph"/>
              <w:spacing w:line="258" w:lineRule="exact"/>
              <w:ind w:right="275"/>
              <w:jc w:val="right"/>
              <w:rPr>
                <w:sz w:val="22"/>
              </w:rPr>
            </w:pPr>
            <w:r>
              <w:rPr>
                <w:sz w:val="22"/>
              </w:rPr>
              <w:t>14</w:t>
            </w:r>
            <w:r>
              <w:rPr>
                <w:spacing w:val="-2"/>
                <w:sz w:val="22"/>
              </w:rPr>
              <w:t> </w:t>
            </w:r>
            <w:r>
              <w:rPr>
                <w:sz w:val="22"/>
              </w:rPr>
              <w:t>579</w:t>
            </w:r>
            <w:r>
              <w:rPr>
                <w:spacing w:val="-2"/>
                <w:sz w:val="22"/>
              </w:rPr>
              <w:t> </w:t>
            </w:r>
            <w:r>
              <w:rPr>
                <w:spacing w:val="-5"/>
                <w:sz w:val="22"/>
              </w:rPr>
              <w:t>877</w:t>
            </w:r>
          </w:p>
        </w:tc>
        <w:tc>
          <w:tcPr>
            <w:tcW w:w="1454" w:type="dxa"/>
          </w:tcPr>
          <w:p>
            <w:pPr>
              <w:pStyle w:val="TableParagraph"/>
              <w:spacing w:line="258" w:lineRule="exact"/>
              <w:ind w:right="76"/>
              <w:jc w:val="right"/>
              <w:rPr>
                <w:sz w:val="22"/>
              </w:rPr>
            </w:pPr>
            <w:r>
              <w:rPr>
                <w:sz w:val="22"/>
              </w:rPr>
              <w:t>15</w:t>
            </w:r>
            <w:r>
              <w:rPr>
                <w:spacing w:val="-2"/>
                <w:sz w:val="22"/>
              </w:rPr>
              <w:t> </w:t>
            </w:r>
            <w:r>
              <w:rPr>
                <w:sz w:val="22"/>
              </w:rPr>
              <w:t>993</w:t>
            </w:r>
            <w:r>
              <w:rPr>
                <w:spacing w:val="-2"/>
                <w:sz w:val="22"/>
              </w:rPr>
              <w:t> </w:t>
            </w:r>
            <w:r>
              <w:rPr>
                <w:spacing w:val="-5"/>
                <w:sz w:val="22"/>
              </w:rPr>
              <w:t>718</w:t>
            </w:r>
          </w:p>
        </w:tc>
      </w:tr>
      <w:tr>
        <w:trPr>
          <w:trHeight w:val="279" w:hRule="atLeast"/>
        </w:trPr>
        <w:tc>
          <w:tcPr>
            <w:tcW w:w="2758" w:type="dxa"/>
            <w:tcBorders>
              <w:bottom w:val="single" w:sz="8" w:space="0" w:color="000000"/>
            </w:tcBorders>
          </w:tcPr>
          <w:p>
            <w:pPr>
              <w:pStyle w:val="TableParagraph"/>
              <w:spacing w:line="259" w:lineRule="exact"/>
              <w:ind w:left="287"/>
              <w:rPr>
                <w:sz w:val="22"/>
              </w:rPr>
            </w:pPr>
            <w:r>
              <w:rPr>
                <w:sz w:val="22"/>
              </w:rPr>
              <w:t>60</w:t>
            </w:r>
            <w:r>
              <w:rPr>
                <w:spacing w:val="-4"/>
                <w:sz w:val="22"/>
              </w:rPr>
              <w:t> </w:t>
            </w:r>
            <w:r>
              <w:rPr>
                <w:sz w:val="22"/>
              </w:rPr>
              <w:t>anos</w:t>
            </w:r>
            <w:r>
              <w:rPr>
                <w:spacing w:val="-2"/>
                <w:sz w:val="22"/>
              </w:rPr>
              <w:t> </w:t>
            </w:r>
            <w:r>
              <w:rPr>
                <w:sz w:val="22"/>
              </w:rPr>
              <w:t>ou</w:t>
            </w:r>
            <w:r>
              <w:rPr>
                <w:spacing w:val="-3"/>
                <w:sz w:val="22"/>
              </w:rPr>
              <w:t> </w:t>
            </w:r>
            <w:r>
              <w:rPr>
                <w:spacing w:val="-4"/>
                <w:sz w:val="22"/>
              </w:rPr>
              <w:t>mais</w:t>
            </w:r>
          </w:p>
        </w:tc>
        <w:tc>
          <w:tcPr>
            <w:tcW w:w="2556" w:type="dxa"/>
            <w:tcBorders>
              <w:bottom w:val="single" w:sz="8" w:space="0" w:color="000000"/>
            </w:tcBorders>
          </w:tcPr>
          <w:p>
            <w:pPr>
              <w:pStyle w:val="TableParagraph"/>
              <w:spacing w:line="259" w:lineRule="exact"/>
              <w:ind w:right="136"/>
              <w:jc w:val="right"/>
              <w:rPr>
                <w:sz w:val="22"/>
              </w:rPr>
            </w:pPr>
            <w:r>
              <w:rPr>
                <w:sz w:val="22"/>
              </w:rPr>
              <w:t>9</w:t>
            </w:r>
            <w:r>
              <w:rPr>
                <w:spacing w:val="-2"/>
                <w:sz w:val="22"/>
              </w:rPr>
              <w:t> </w:t>
            </w:r>
            <w:r>
              <w:rPr>
                <w:sz w:val="22"/>
              </w:rPr>
              <w:t>717</w:t>
            </w:r>
            <w:r>
              <w:rPr>
                <w:spacing w:val="-2"/>
                <w:sz w:val="22"/>
              </w:rPr>
              <w:t> </w:t>
            </w:r>
            <w:r>
              <w:rPr>
                <w:spacing w:val="-5"/>
                <w:sz w:val="22"/>
              </w:rPr>
              <w:t>962</w:t>
            </w:r>
          </w:p>
        </w:tc>
        <w:tc>
          <w:tcPr>
            <w:tcW w:w="1847" w:type="dxa"/>
            <w:tcBorders>
              <w:bottom w:val="single" w:sz="8" w:space="0" w:color="000000"/>
            </w:tcBorders>
          </w:tcPr>
          <w:p>
            <w:pPr>
              <w:pStyle w:val="TableParagraph"/>
              <w:spacing w:line="259" w:lineRule="exact"/>
              <w:ind w:right="330"/>
              <w:jc w:val="right"/>
              <w:rPr>
                <w:sz w:val="22"/>
              </w:rPr>
            </w:pPr>
            <w:r>
              <w:rPr>
                <w:sz w:val="22"/>
              </w:rPr>
              <w:t>4</w:t>
            </w:r>
            <w:r>
              <w:rPr>
                <w:spacing w:val="-2"/>
                <w:sz w:val="22"/>
              </w:rPr>
              <w:t> </w:t>
            </w:r>
            <w:r>
              <w:rPr>
                <w:sz w:val="22"/>
              </w:rPr>
              <w:t>091</w:t>
            </w:r>
            <w:r>
              <w:rPr>
                <w:spacing w:val="-2"/>
                <w:sz w:val="22"/>
              </w:rPr>
              <w:t> </w:t>
            </w:r>
            <w:r>
              <w:rPr>
                <w:spacing w:val="-5"/>
                <w:sz w:val="22"/>
              </w:rPr>
              <w:t>350</w:t>
            </w:r>
          </w:p>
        </w:tc>
        <w:tc>
          <w:tcPr>
            <w:tcW w:w="1597" w:type="dxa"/>
            <w:tcBorders>
              <w:bottom w:val="single" w:sz="8" w:space="0" w:color="000000"/>
            </w:tcBorders>
          </w:tcPr>
          <w:p>
            <w:pPr>
              <w:pStyle w:val="TableParagraph"/>
              <w:spacing w:line="259" w:lineRule="exact"/>
              <w:ind w:right="275"/>
              <w:jc w:val="right"/>
              <w:rPr>
                <w:sz w:val="22"/>
              </w:rPr>
            </w:pPr>
            <w:r>
              <w:rPr>
                <w:sz w:val="22"/>
              </w:rPr>
              <w:t>3</w:t>
            </w:r>
            <w:r>
              <w:rPr>
                <w:spacing w:val="-2"/>
                <w:sz w:val="22"/>
              </w:rPr>
              <w:t> </w:t>
            </w:r>
            <w:r>
              <w:rPr>
                <w:sz w:val="22"/>
              </w:rPr>
              <w:t>840</w:t>
            </w:r>
            <w:r>
              <w:rPr>
                <w:spacing w:val="-2"/>
                <w:sz w:val="22"/>
              </w:rPr>
              <w:t> </w:t>
            </w:r>
            <w:r>
              <w:rPr>
                <w:spacing w:val="-5"/>
                <w:sz w:val="22"/>
              </w:rPr>
              <w:t>741</w:t>
            </w:r>
          </w:p>
        </w:tc>
        <w:tc>
          <w:tcPr>
            <w:tcW w:w="1454" w:type="dxa"/>
            <w:tcBorders>
              <w:bottom w:val="single" w:sz="8" w:space="0" w:color="000000"/>
            </w:tcBorders>
          </w:tcPr>
          <w:p>
            <w:pPr>
              <w:pStyle w:val="TableParagraph"/>
              <w:spacing w:line="259" w:lineRule="exact"/>
              <w:ind w:right="76"/>
              <w:jc w:val="right"/>
              <w:rPr>
                <w:sz w:val="22"/>
              </w:rPr>
            </w:pPr>
            <w:r>
              <w:rPr>
                <w:sz w:val="22"/>
              </w:rPr>
              <w:t>4</w:t>
            </w:r>
            <w:r>
              <w:rPr>
                <w:spacing w:val="-2"/>
                <w:sz w:val="22"/>
              </w:rPr>
              <w:t> </w:t>
            </w:r>
            <w:r>
              <w:rPr>
                <w:sz w:val="22"/>
              </w:rPr>
              <w:t>091</w:t>
            </w:r>
            <w:r>
              <w:rPr>
                <w:spacing w:val="-2"/>
                <w:sz w:val="22"/>
              </w:rPr>
              <w:t> </w:t>
            </w:r>
            <w:r>
              <w:rPr>
                <w:spacing w:val="-5"/>
                <w:sz w:val="22"/>
              </w:rPr>
              <w:t>350</w:t>
            </w:r>
          </w:p>
        </w:tc>
      </w:tr>
      <w:tr>
        <w:trPr>
          <w:trHeight w:val="309" w:hRule="atLeast"/>
        </w:trPr>
        <w:tc>
          <w:tcPr>
            <w:tcW w:w="2758" w:type="dxa"/>
            <w:tcBorders>
              <w:top w:val="single" w:sz="8" w:space="0" w:color="000000"/>
            </w:tcBorders>
          </w:tcPr>
          <w:p>
            <w:pPr>
              <w:pStyle w:val="TableParagraph"/>
              <w:spacing w:before="10"/>
              <w:ind w:left="67"/>
              <w:rPr>
                <w:b/>
                <w:sz w:val="22"/>
              </w:rPr>
            </w:pPr>
            <w:r>
              <w:rPr>
                <w:b/>
                <w:spacing w:val="-2"/>
                <w:sz w:val="22"/>
              </w:rPr>
              <w:t>Escolaridade</w:t>
            </w:r>
          </w:p>
        </w:tc>
        <w:tc>
          <w:tcPr>
            <w:tcW w:w="2556" w:type="dxa"/>
            <w:tcBorders>
              <w:top w:val="single" w:sz="8" w:space="0" w:color="000000"/>
            </w:tcBorders>
          </w:tcPr>
          <w:p>
            <w:pPr>
              <w:pStyle w:val="TableParagraph"/>
              <w:rPr>
                <w:rFonts w:ascii="Times New Roman"/>
                <w:sz w:val="20"/>
              </w:rPr>
            </w:pPr>
          </w:p>
        </w:tc>
        <w:tc>
          <w:tcPr>
            <w:tcW w:w="1847" w:type="dxa"/>
            <w:tcBorders>
              <w:top w:val="single" w:sz="8" w:space="0" w:color="000000"/>
            </w:tcBorders>
          </w:tcPr>
          <w:p>
            <w:pPr>
              <w:pStyle w:val="TableParagraph"/>
              <w:rPr>
                <w:rFonts w:ascii="Times New Roman"/>
                <w:sz w:val="20"/>
              </w:rPr>
            </w:pPr>
          </w:p>
        </w:tc>
        <w:tc>
          <w:tcPr>
            <w:tcW w:w="1597" w:type="dxa"/>
            <w:tcBorders>
              <w:top w:val="single" w:sz="8" w:space="0" w:color="000000"/>
            </w:tcBorders>
          </w:tcPr>
          <w:p>
            <w:pPr>
              <w:pStyle w:val="TableParagraph"/>
              <w:rPr>
                <w:rFonts w:ascii="Times New Roman"/>
                <w:sz w:val="20"/>
              </w:rPr>
            </w:pPr>
          </w:p>
        </w:tc>
        <w:tc>
          <w:tcPr>
            <w:tcW w:w="1454" w:type="dxa"/>
            <w:tcBorders>
              <w:top w:val="single" w:sz="8" w:space="0" w:color="000000"/>
            </w:tcBorders>
          </w:tcPr>
          <w:p>
            <w:pPr>
              <w:pStyle w:val="TableParagraph"/>
              <w:rPr>
                <w:rFonts w:ascii="Times New Roman"/>
                <w:sz w:val="20"/>
              </w:rPr>
            </w:pPr>
          </w:p>
        </w:tc>
      </w:tr>
      <w:tr>
        <w:trPr>
          <w:trHeight w:val="290" w:hRule="atLeast"/>
        </w:trPr>
        <w:tc>
          <w:tcPr>
            <w:tcW w:w="2758" w:type="dxa"/>
          </w:tcPr>
          <w:p>
            <w:pPr>
              <w:pStyle w:val="TableParagraph"/>
              <w:spacing w:line="258" w:lineRule="exact"/>
              <w:ind w:left="287"/>
              <w:rPr>
                <w:sz w:val="22"/>
              </w:rPr>
            </w:pPr>
            <w:r>
              <w:rPr>
                <w:sz w:val="22"/>
              </w:rPr>
              <w:t>Até</w:t>
            </w:r>
            <w:r>
              <w:rPr>
                <w:spacing w:val="-6"/>
                <w:sz w:val="22"/>
              </w:rPr>
              <w:t> </w:t>
            </w:r>
            <w:r>
              <w:rPr>
                <w:spacing w:val="-2"/>
                <w:sz w:val="22"/>
              </w:rPr>
              <w:t>Fundamental</w:t>
            </w:r>
          </w:p>
        </w:tc>
        <w:tc>
          <w:tcPr>
            <w:tcW w:w="2556" w:type="dxa"/>
          </w:tcPr>
          <w:p>
            <w:pPr>
              <w:pStyle w:val="TableParagraph"/>
              <w:spacing w:line="258" w:lineRule="exact"/>
              <w:ind w:right="136"/>
              <w:jc w:val="right"/>
              <w:rPr>
                <w:sz w:val="22"/>
              </w:rPr>
            </w:pPr>
            <w:r>
              <w:rPr>
                <w:sz w:val="22"/>
              </w:rPr>
              <w:t>35</w:t>
            </w:r>
            <w:r>
              <w:rPr>
                <w:spacing w:val="-2"/>
                <w:sz w:val="22"/>
              </w:rPr>
              <w:t> </w:t>
            </w:r>
            <w:r>
              <w:rPr>
                <w:sz w:val="22"/>
              </w:rPr>
              <w:t>572</w:t>
            </w:r>
            <w:r>
              <w:rPr>
                <w:spacing w:val="-2"/>
                <w:sz w:val="22"/>
              </w:rPr>
              <w:t> </w:t>
            </w:r>
            <w:r>
              <w:rPr>
                <w:spacing w:val="-5"/>
                <w:sz w:val="22"/>
              </w:rPr>
              <w:t>623</w:t>
            </w:r>
          </w:p>
        </w:tc>
        <w:tc>
          <w:tcPr>
            <w:tcW w:w="1847" w:type="dxa"/>
          </w:tcPr>
          <w:p>
            <w:pPr>
              <w:pStyle w:val="TableParagraph"/>
              <w:spacing w:line="258" w:lineRule="exact"/>
              <w:ind w:right="330"/>
              <w:jc w:val="right"/>
              <w:rPr>
                <w:sz w:val="22"/>
              </w:rPr>
            </w:pPr>
            <w:r>
              <w:rPr>
                <w:sz w:val="22"/>
              </w:rPr>
              <w:t>20</w:t>
            </w:r>
            <w:r>
              <w:rPr>
                <w:spacing w:val="-2"/>
                <w:sz w:val="22"/>
              </w:rPr>
              <w:t> </w:t>
            </w:r>
            <w:r>
              <w:rPr>
                <w:sz w:val="22"/>
              </w:rPr>
              <w:t>223</w:t>
            </w:r>
            <w:r>
              <w:rPr>
                <w:spacing w:val="-2"/>
                <w:sz w:val="22"/>
              </w:rPr>
              <w:t> </w:t>
            </w:r>
            <w:r>
              <w:rPr>
                <w:spacing w:val="-5"/>
                <w:sz w:val="22"/>
              </w:rPr>
              <w:t>133</w:t>
            </w:r>
          </w:p>
        </w:tc>
        <w:tc>
          <w:tcPr>
            <w:tcW w:w="1597" w:type="dxa"/>
          </w:tcPr>
          <w:p>
            <w:pPr>
              <w:pStyle w:val="TableParagraph"/>
              <w:spacing w:line="258" w:lineRule="exact"/>
              <w:ind w:right="275"/>
              <w:jc w:val="right"/>
              <w:rPr>
                <w:sz w:val="22"/>
              </w:rPr>
            </w:pPr>
            <w:r>
              <w:rPr>
                <w:sz w:val="22"/>
              </w:rPr>
              <w:t>17</w:t>
            </w:r>
            <w:r>
              <w:rPr>
                <w:spacing w:val="-2"/>
                <w:sz w:val="22"/>
              </w:rPr>
              <w:t> </w:t>
            </w:r>
            <w:r>
              <w:rPr>
                <w:sz w:val="22"/>
              </w:rPr>
              <w:t>814</w:t>
            </w:r>
            <w:r>
              <w:rPr>
                <w:spacing w:val="-2"/>
                <w:sz w:val="22"/>
              </w:rPr>
              <w:t> </w:t>
            </w:r>
            <w:r>
              <w:rPr>
                <w:spacing w:val="-5"/>
                <w:sz w:val="22"/>
              </w:rPr>
              <w:t>922</w:t>
            </w:r>
          </w:p>
        </w:tc>
        <w:tc>
          <w:tcPr>
            <w:tcW w:w="1454" w:type="dxa"/>
          </w:tcPr>
          <w:p>
            <w:pPr>
              <w:pStyle w:val="TableParagraph"/>
              <w:spacing w:line="258" w:lineRule="exact"/>
              <w:ind w:right="76"/>
              <w:jc w:val="right"/>
              <w:rPr>
                <w:sz w:val="22"/>
              </w:rPr>
            </w:pPr>
            <w:r>
              <w:rPr>
                <w:sz w:val="22"/>
              </w:rPr>
              <w:t>20</w:t>
            </w:r>
            <w:r>
              <w:rPr>
                <w:spacing w:val="-2"/>
                <w:sz w:val="22"/>
              </w:rPr>
              <w:t> </w:t>
            </w:r>
            <w:r>
              <w:rPr>
                <w:sz w:val="22"/>
              </w:rPr>
              <w:t>223</w:t>
            </w:r>
            <w:r>
              <w:rPr>
                <w:spacing w:val="-2"/>
                <w:sz w:val="22"/>
              </w:rPr>
              <w:t> </w:t>
            </w:r>
            <w:r>
              <w:rPr>
                <w:spacing w:val="-5"/>
                <w:sz w:val="22"/>
              </w:rPr>
              <w:t>133</w:t>
            </w:r>
          </w:p>
        </w:tc>
      </w:tr>
      <w:tr>
        <w:trPr>
          <w:trHeight w:val="293" w:hRule="atLeast"/>
        </w:trPr>
        <w:tc>
          <w:tcPr>
            <w:tcW w:w="2758" w:type="dxa"/>
          </w:tcPr>
          <w:p>
            <w:pPr>
              <w:pStyle w:val="TableParagraph"/>
              <w:spacing w:line="260" w:lineRule="exact"/>
              <w:ind w:left="287"/>
              <w:rPr>
                <w:sz w:val="22"/>
              </w:rPr>
            </w:pPr>
            <w:r>
              <w:rPr>
                <w:sz w:val="22"/>
              </w:rPr>
              <w:t>Ensino</w:t>
            </w:r>
            <w:r>
              <w:rPr>
                <w:spacing w:val="-4"/>
                <w:sz w:val="22"/>
              </w:rPr>
              <w:t> </w:t>
            </w:r>
            <w:r>
              <w:rPr>
                <w:spacing w:val="-2"/>
                <w:sz w:val="22"/>
              </w:rPr>
              <w:t>Médio</w:t>
            </w:r>
          </w:p>
        </w:tc>
        <w:tc>
          <w:tcPr>
            <w:tcW w:w="2556" w:type="dxa"/>
          </w:tcPr>
          <w:p>
            <w:pPr>
              <w:pStyle w:val="TableParagraph"/>
              <w:spacing w:line="260" w:lineRule="exact"/>
              <w:ind w:right="136"/>
              <w:jc w:val="right"/>
              <w:rPr>
                <w:sz w:val="22"/>
              </w:rPr>
            </w:pPr>
            <w:r>
              <w:rPr>
                <w:sz w:val="22"/>
              </w:rPr>
              <w:t>53</w:t>
            </w:r>
            <w:r>
              <w:rPr>
                <w:spacing w:val="-2"/>
                <w:sz w:val="22"/>
              </w:rPr>
              <w:t> </w:t>
            </w:r>
            <w:r>
              <w:rPr>
                <w:sz w:val="22"/>
              </w:rPr>
              <w:t>760</w:t>
            </w:r>
            <w:r>
              <w:rPr>
                <w:spacing w:val="-2"/>
                <w:sz w:val="22"/>
              </w:rPr>
              <w:t> </w:t>
            </w:r>
            <w:r>
              <w:rPr>
                <w:spacing w:val="-5"/>
                <w:sz w:val="22"/>
              </w:rPr>
              <w:t>372</w:t>
            </w:r>
          </w:p>
        </w:tc>
        <w:tc>
          <w:tcPr>
            <w:tcW w:w="1847" w:type="dxa"/>
          </w:tcPr>
          <w:p>
            <w:pPr>
              <w:pStyle w:val="TableParagraph"/>
              <w:spacing w:line="260" w:lineRule="exact"/>
              <w:ind w:right="330"/>
              <w:jc w:val="right"/>
              <w:rPr>
                <w:sz w:val="22"/>
              </w:rPr>
            </w:pPr>
            <w:r>
              <w:rPr>
                <w:sz w:val="22"/>
              </w:rPr>
              <w:t>51</w:t>
            </w:r>
            <w:r>
              <w:rPr>
                <w:spacing w:val="-2"/>
                <w:sz w:val="22"/>
              </w:rPr>
              <w:t> </w:t>
            </w:r>
            <w:r>
              <w:rPr>
                <w:sz w:val="22"/>
              </w:rPr>
              <w:t>334</w:t>
            </w:r>
            <w:r>
              <w:rPr>
                <w:spacing w:val="-2"/>
                <w:sz w:val="22"/>
              </w:rPr>
              <w:t> </w:t>
            </w:r>
            <w:r>
              <w:rPr>
                <w:spacing w:val="-5"/>
                <w:sz w:val="22"/>
              </w:rPr>
              <w:t>055</w:t>
            </w:r>
          </w:p>
        </w:tc>
        <w:tc>
          <w:tcPr>
            <w:tcW w:w="1597" w:type="dxa"/>
          </w:tcPr>
          <w:p>
            <w:pPr>
              <w:pStyle w:val="TableParagraph"/>
              <w:spacing w:line="260" w:lineRule="exact"/>
              <w:ind w:right="275"/>
              <w:jc w:val="right"/>
              <w:rPr>
                <w:sz w:val="22"/>
              </w:rPr>
            </w:pPr>
            <w:r>
              <w:rPr>
                <w:sz w:val="22"/>
              </w:rPr>
              <w:t>49</w:t>
            </w:r>
            <w:r>
              <w:rPr>
                <w:spacing w:val="-2"/>
                <w:sz w:val="22"/>
              </w:rPr>
              <w:t> </w:t>
            </w:r>
            <w:r>
              <w:rPr>
                <w:sz w:val="22"/>
              </w:rPr>
              <w:t>897</w:t>
            </w:r>
            <w:r>
              <w:rPr>
                <w:spacing w:val="-2"/>
                <w:sz w:val="22"/>
              </w:rPr>
              <w:t> </w:t>
            </w:r>
            <w:r>
              <w:rPr>
                <w:spacing w:val="-5"/>
                <w:sz w:val="22"/>
              </w:rPr>
              <w:t>095</w:t>
            </w:r>
          </w:p>
        </w:tc>
        <w:tc>
          <w:tcPr>
            <w:tcW w:w="1454" w:type="dxa"/>
          </w:tcPr>
          <w:p>
            <w:pPr>
              <w:pStyle w:val="TableParagraph"/>
              <w:spacing w:line="260" w:lineRule="exact"/>
              <w:ind w:right="76"/>
              <w:jc w:val="right"/>
              <w:rPr>
                <w:sz w:val="22"/>
              </w:rPr>
            </w:pPr>
            <w:r>
              <w:rPr>
                <w:sz w:val="22"/>
              </w:rPr>
              <w:t>51</w:t>
            </w:r>
            <w:r>
              <w:rPr>
                <w:spacing w:val="-2"/>
                <w:sz w:val="22"/>
              </w:rPr>
              <w:t> </w:t>
            </w:r>
            <w:r>
              <w:rPr>
                <w:sz w:val="22"/>
              </w:rPr>
              <w:t>334</w:t>
            </w:r>
            <w:r>
              <w:rPr>
                <w:spacing w:val="-2"/>
                <w:sz w:val="22"/>
              </w:rPr>
              <w:t> </w:t>
            </w:r>
            <w:r>
              <w:rPr>
                <w:spacing w:val="-5"/>
                <w:sz w:val="22"/>
              </w:rPr>
              <w:t>055</w:t>
            </w:r>
          </w:p>
        </w:tc>
      </w:tr>
      <w:tr>
        <w:trPr>
          <w:trHeight w:val="279" w:hRule="atLeast"/>
        </w:trPr>
        <w:tc>
          <w:tcPr>
            <w:tcW w:w="2758" w:type="dxa"/>
            <w:tcBorders>
              <w:bottom w:val="single" w:sz="8" w:space="0" w:color="000000"/>
            </w:tcBorders>
          </w:tcPr>
          <w:p>
            <w:pPr>
              <w:pStyle w:val="TableParagraph"/>
              <w:spacing w:line="259" w:lineRule="exact"/>
              <w:ind w:left="287"/>
              <w:rPr>
                <w:sz w:val="22"/>
              </w:rPr>
            </w:pPr>
            <w:r>
              <w:rPr>
                <w:spacing w:val="-2"/>
                <w:sz w:val="22"/>
              </w:rPr>
              <w:t>Superior</w:t>
            </w:r>
          </w:p>
        </w:tc>
        <w:tc>
          <w:tcPr>
            <w:tcW w:w="2556" w:type="dxa"/>
            <w:tcBorders>
              <w:bottom w:val="single" w:sz="8" w:space="0" w:color="000000"/>
            </w:tcBorders>
          </w:tcPr>
          <w:p>
            <w:pPr>
              <w:pStyle w:val="TableParagraph"/>
              <w:spacing w:line="259" w:lineRule="exact"/>
              <w:ind w:right="136"/>
              <w:jc w:val="right"/>
              <w:rPr>
                <w:sz w:val="22"/>
              </w:rPr>
            </w:pPr>
            <w:r>
              <w:rPr>
                <w:sz w:val="22"/>
              </w:rPr>
              <w:t>29</w:t>
            </w:r>
            <w:r>
              <w:rPr>
                <w:spacing w:val="-2"/>
                <w:sz w:val="22"/>
              </w:rPr>
              <w:t> </w:t>
            </w:r>
            <w:r>
              <w:rPr>
                <w:sz w:val="22"/>
              </w:rPr>
              <w:t>846</w:t>
            </w:r>
            <w:r>
              <w:rPr>
                <w:spacing w:val="-2"/>
                <w:sz w:val="22"/>
              </w:rPr>
              <w:t> </w:t>
            </w:r>
            <w:r>
              <w:rPr>
                <w:spacing w:val="-5"/>
                <w:sz w:val="22"/>
              </w:rPr>
              <w:t>696</w:t>
            </w:r>
          </w:p>
        </w:tc>
        <w:tc>
          <w:tcPr>
            <w:tcW w:w="1847" w:type="dxa"/>
            <w:tcBorders>
              <w:bottom w:val="single" w:sz="8" w:space="0" w:color="000000"/>
            </w:tcBorders>
          </w:tcPr>
          <w:p>
            <w:pPr>
              <w:pStyle w:val="TableParagraph"/>
              <w:spacing w:line="259" w:lineRule="exact"/>
              <w:ind w:right="330"/>
              <w:jc w:val="right"/>
              <w:rPr>
                <w:sz w:val="22"/>
              </w:rPr>
            </w:pPr>
            <w:r>
              <w:rPr>
                <w:sz w:val="22"/>
              </w:rPr>
              <w:t>29</w:t>
            </w:r>
            <w:r>
              <w:rPr>
                <w:spacing w:val="-2"/>
                <w:sz w:val="22"/>
              </w:rPr>
              <w:t> </w:t>
            </w:r>
            <w:r>
              <w:rPr>
                <w:sz w:val="22"/>
              </w:rPr>
              <w:t>618</w:t>
            </w:r>
            <w:r>
              <w:rPr>
                <w:spacing w:val="-2"/>
                <w:sz w:val="22"/>
              </w:rPr>
              <w:t> </w:t>
            </w:r>
            <w:r>
              <w:rPr>
                <w:spacing w:val="-5"/>
                <w:sz w:val="22"/>
              </w:rPr>
              <w:t>821</w:t>
            </w:r>
          </w:p>
        </w:tc>
        <w:tc>
          <w:tcPr>
            <w:tcW w:w="1597" w:type="dxa"/>
            <w:tcBorders>
              <w:bottom w:val="single" w:sz="8" w:space="0" w:color="000000"/>
            </w:tcBorders>
          </w:tcPr>
          <w:p>
            <w:pPr>
              <w:pStyle w:val="TableParagraph"/>
              <w:spacing w:line="259" w:lineRule="exact"/>
              <w:ind w:right="275"/>
              <w:jc w:val="right"/>
              <w:rPr>
                <w:sz w:val="22"/>
              </w:rPr>
            </w:pPr>
            <w:r>
              <w:rPr>
                <w:sz w:val="22"/>
              </w:rPr>
              <w:t>29</w:t>
            </w:r>
            <w:r>
              <w:rPr>
                <w:spacing w:val="-2"/>
                <w:sz w:val="22"/>
              </w:rPr>
              <w:t> </w:t>
            </w:r>
            <w:r>
              <w:rPr>
                <w:sz w:val="22"/>
              </w:rPr>
              <w:t>442</w:t>
            </w:r>
            <w:r>
              <w:rPr>
                <w:spacing w:val="-2"/>
                <w:sz w:val="22"/>
              </w:rPr>
              <w:t> </w:t>
            </w:r>
            <w:r>
              <w:rPr>
                <w:spacing w:val="-5"/>
                <w:sz w:val="22"/>
              </w:rPr>
              <w:t>639</w:t>
            </w:r>
          </w:p>
        </w:tc>
        <w:tc>
          <w:tcPr>
            <w:tcW w:w="1454" w:type="dxa"/>
            <w:tcBorders>
              <w:bottom w:val="single" w:sz="8" w:space="0" w:color="000000"/>
            </w:tcBorders>
          </w:tcPr>
          <w:p>
            <w:pPr>
              <w:pStyle w:val="TableParagraph"/>
              <w:spacing w:line="259" w:lineRule="exact"/>
              <w:ind w:right="76"/>
              <w:jc w:val="right"/>
              <w:rPr>
                <w:sz w:val="22"/>
              </w:rPr>
            </w:pPr>
            <w:r>
              <w:rPr>
                <w:sz w:val="22"/>
              </w:rPr>
              <w:t>29</w:t>
            </w:r>
            <w:r>
              <w:rPr>
                <w:spacing w:val="-2"/>
                <w:sz w:val="22"/>
              </w:rPr>
              <w:t> </w:t>
            </w:r>
            <w:r>
              <w:rPr>
                <w:sz w:val="22"/>
              </w:rPr>
              <w:t>618</w:t>
            </w:r>
            <w:r>
              <w:rPr>
                <w:spacing w:val="-2"/>
                <w:sz w:val="22"/>
              </w:rPr>
              <w:t> </w:t>
            </w:r>
            <w:r>
              <w:rPr>
                <w:spacing w:val="-5"/>
                <w:sz w:val="22"/>
              </w:rPr>
              <w:t>821</w:t>
            </w:r>
          </w:p>
        </w:tc>
      </w:tr>
      <w:tr>
        <w:trPr>
          <w:trHeight w:val="306" w:hRule="atLeast"/>
        </w:trPr>
        <w:tc>
          <w:tcPr>
            <w:tcW w:w="2758" w:type="dxa"/>
            <w:tcBorders>
              <w:top w:val="single" w:sz="8" w:space="0" w:color="000000"/>
            </w:tcBorders>
          </w:tcPr>
          <w:p>
            <w:pPr>
              <w:pStyle w:val="TableParagraph"/>
              <w:spacing w:before="6"/>
              <w:ind w:left="67"/>
              <w:rPr>
                <w:b/>
                <w:sz w:val="22"/>
              </w:rPr>
            </w:pPr>
            <w:r>
              <w:rPr>
                <w:b/>
                <w:spacing w:val="-2"/>
                <w:sz w:val="22"/>
              </w:rPr>
              <w:t>Região</w:t>
            </w:r>
          </w:p>
        </w:tc>
        <w:tc>
          <w:tcPr>
            <w:tcW w:w="2556" w:type="dxa"/>
            <w:tcBorders>
              <w:top w:val="single" w:sz="8" w:space="0" w:color="000000"/>
            </w:tcBorders>
          </w:tcPr>
          <w:p>
            <w:pPr>
              <w:pStyle w:val="TableParagraph"/>
              <w:rPr>
                <w:rFonts w:ascii="Times New Roman"/>
                <w:sz w:val="20"/>
              </w:rPr>
            </w:pPr>
          </w:p>
        </w:tc>
        <w:tc>
          <w:tcPr>
            <w:tcW w:w="1847" w:type="dxa"/>
            <w:tcBorders>
              <w:top w:val="single" w:sz="8" w:space="0" w:color="000000"/>
            </w:tcBorders>
          </w:tcPr>
          <w:p>
            <w:pPr>
              <w:pStyle w:val="TableParagraph"/>
              <w:rPr>
                <w:rFonts w:ascii="Times New Roman"/>
                <w:sz w:val="20"/>
              </w:rPr>
            </w:pPr>
          </w:p>
        </w:tc>
        <w:tc>
          <w:tcPr>
            <w:tcW w:w="1597" w:type="dxa"/>
            <w:tcBorders>
              <w:top w:val="single" w:sz="8" w:space="0" w:color="000000"/>
            </w:tcBorders>
          </w:tcPr>
          <w:p>
            <w:pPr>
              <w:pStyle w:val="TableParagraph"/>
              <w:rPr>
                <w:rFonts w:ascii="Times New Roman"/>
                <w:sz w:val="20"/>
              </w:rPr>
            </w:pPr>
          </w:p>
        </w:tc>
        <w:tc>
          <w:tcPr>
            <w:tcW w:w="1454" w:type="dxa"/>
            <w:tcBorders>
              <w:top w:val="single" w:sz="8" w:space="0" w:color="000000"/>
            </w:tcBorders>
          </w:tcPr>
          <w:p>
            <w:pPr>
              <w:pStyle w:val="TableParagraph"/>
              <w:rPr>
                <w:rFonts w:ascii="Times New Roman"/>
                <w:sz w:val="20"/>
              </w:rPr>
            </w:pPr>
          </w:p>
        </w:tc>
      </w:tr>
      <w:tr>
        <w:trPr>
          <w:trHeight w:val="290" w:hRule="atLeast"/>
        </w:trPr>
        <w:tc>
          <w:tcPr>
            <w:tcW w:w="2758" w:type="dxa"/>
          </w:tcPr>
          <w:p>
            <w:pPr>
              <w:pStyle w:val="TableParagraph"/>
              <w:spacing w:line="260" w:lineRule="exact"/>
              <w:ind w:left="287"/>
              <w:rPr>
                <w:sz w:val="22"/>
              </w:rPr>
            </w:pPr>
            <w:r>
              <w:rPr>
                <w:spacing w:val="-2"/>
                <w:sz w:val="22"/>
              </w:rPr>
              <w:t>Norte</w:t>
            </w:r>
          </w:p>
        </w:tc>
        <w:tc>
          <w:tcPr>
            <w:tcW w:w="2556" w:type="dxa"/>
          </w:tcPr>
          <w:p>
            <w:pPr>
              <w:pStyle w:val="TableParagraph"/>
              <w:spacing w:line="260" w:lineRule="exact"/>
              <w:ind w:right="136"/>
              <w:jc w:val="right"/>
              <w:rPr>
                <w:sz w:val="22"/>
              </w:rPr>
            </w:pPr>
            <w:r>
              <w:rPr>
                <w:sz w:val="22"/>
              </w:rPr>
              <w:t>9</w:t>
            </w:r>
            <w:r>
              <w:rPr>
                <w:spacing w:val="-2"/>
                <w:sz w:val="22"/>
              </w:rPr>
              <w:t> </w:t>
            </w:r>
            <w:r>
              <w:rPr>
                <w:sz w:val="22"/>
              </w:rPr>
              <w:t>144</w:t>
            </w:r>
            <w:r>
              <w:rPr>
                <w:spacing w:val="-2"/>
                <w:sz w:val="22"/>
              </w:rPr>
              <w:t> </w:t>
            </w:r>
            <w:r>
              <w:rPr>
                <w:spacing w:val="-5"/>
                <w:sz w:val="22"/>
              </w:rPr>
              <w:t>295</w:t>
            </w:r>
          </w:p>
        </w:tc>
        <w:tc>
          <w:tcPr>
            <w:tcW w:w="1847" w:type="dxa"/>
          </w:tcPr>
          <w:p>
            <w:pPr>
              <w:pStyle w:val="TableParagraph"/>
              <w:spacing w:line="260" w:lineRule="exact"/>
              <w:ind w:right="330"/>
              <w:jc w:val="right"/>
              <w:rPr>
                <w:sz w:val="22"/>
              </w:rPr>
            </w:pPr>
            <w:r>
              <w:rPr>
                <w:sz w:val="22"/>
              </w:rPr>
              <w:t>7</w:t>
            </w:r>
            <w:r>
              <w:rPr>
                <w:spacing w:val="-2"/>
                <w:sz w:val="22"/>
              </w:rPr>
              <w:t> </w:t>
            </w:r>
            <w:r>
              <w:rPr>
                <w:sz w:val="22"/>
              </w:rPr>
              <w:t>729</w:t>
            </w:r>
            <w:r>
              <w:rPr>
                <w:spacing w:val="-2"/>
                <w:sz w:val="22"/>
              </w:rPr>
              <w:t> </w:t>
            </w:r>
            <w:r>
              <w:rPr>
                <w:spacing w:val="-5"/>
                <w:sz w:val="22"/>
              </w:rPr>
              <w:t>775</w:t>
            </w:r>
          </w:p>
        </w:tc>
        <w:tc>
          <w:tcPr>
            <w:tcW w:w="1597" w:type="dxa"/>
          </w:tcPr>
          <w:p>
            <w:pPr>
              <w:pStyle w:val="TableParagraph"/>
              <w:spacing w:line="260" w:lineRule="exact"/>
              <w:ind w:right="275"/>
              <w:jc w:val="right"/>
              <w:rPr>
                <w:sz w:val="22"/>
              </w:rPr>
            </w:pPr>
            <w:r>
              <w:rPr>
                <w:sz w:val="22"/>
              </w:rPr>
              <w:t>7</w:t>
            </w:r>
            <w:r>
              <w:rPr>
                <w:spacing w:val="-2"/>
                <w:sz w:val="22"/>
              </w:rPr>
              <w:t> </w:t>
            </w:r>
            <w:r>
              <w:rPr>
                <w:sz w:val="22"/>
              </w:rPr>
              <w:t>519</w:t>
            </w:r>
            <w:r>
              <w:rPr>
                <w:spacing w:val="-2"/>
                <w:sz w:val="22"/>
              </w:rPr>
              <w:t> </w:t>
            </w:r>
            <w:r>
              <w:rPr>
                <w:spacing w:val="-5"/>
                <w:sz w:val="22"/>
              </w:rPr>
              <w:t>332</w:t>
            </w:r>
          </w:p>
        </w:tc>
        <w:tc>
          <w:tcPr>
            <w:tcW w:w="1454" w:type="dxa"/>
          </w:tcPr>
          <w:p>
            <w:pPr>
              <w:pStyle w:val="TableParagraph"/>
              <w:spacing w:line="260" w:lineRule="exact"/>
              <w:ind w:right="76"/>
              <w:jc w:val="right"/>
              <w:rPr>
                <w:sz w:val="22"/>
              </w:rPr>
            </w:pPr>
            <w:r>
              <w:rPr>
                <w:sz w:val="22"/>
              </w:rPr>
              <w:t>7</w:t>
            </w:r>
            <w:r>
              <w:rPr>
                <w:spacing w:val="-2"/>
                <w:sz w:val="22"/>
              </w:rPr>
              <w:t> </w:t>
            </w:r>
            <w:r>
              <w:rPr>
                <w:sz w:val="22"/>
              </w:rPr>
              <w:t>729</w:t>
            </w:r>
            <w:r>
              <w:rPr>
                <w:spacing w:val="-2"/>
                <w:sz w:val="22"/>
              </w:rPr>
              <w:t> </w:t>
            </w:r>
            <w:r>
              <w:rPr>
                <w:spacing w:val="-5"/>
                <w:sz w:val="22"/>
              </w:rPr>
              <w:t>775</w:t>
            </w:r>
          </w:p>
        </w:tc>
      </w:tr>
      <w:tr>
        <w:trPr>
          <w:trHeight w:val="290" w:hRule="atLeast"/>
        </w:trPr>
        <w:tc>
          <w:tcPr>
            <w:tcW w:w="2758" w:type="dxa"/>
          </w:tcPr>
          <w:p>
            <w:pPr>
              <w:pStyle w:val="TableParagraph"/>
              <w:spacing w:line="258" w:lineRule="exact"/>
              <w:ind w:left="287"/>
              <w:rPr>
                <w:sz w:val="22"/>
              </w:rPr>
            </w:pPr>
            <w:r>
              <w:rPr>
                <w:spacing w:val="-2"/>
                <w:sz w:val="22"/>
              </w:rPr>
              <w:t>Nordeste</w:t>
            </w:r>
          </w:p>
        </w:tc>
        <w:tc>
          <w:tcPr>
            <w:tcW w:w="2556" w:type="dxa"/>
          </w:tcPr>
          <w:p>
            <w:pPr>
              <w:pStyle w:val="TableParagraph"/>
              <w:spacing w:line="258" w:lineRule="exact"/>
              <w:ind w:right="136"/>
              <w:jc w:val="right"/>
              <w:rPr>
                <w:sz w:val="22"/>
              </w:rPr>
            </w:pPr>
            <w:r>
              <w:rPr>
                <w:sz w:val="22"/>
              </w:rPr>
              <w:t>30</w:t>
            </w:r>
            <w:r>
              <w:rPr>
                <w:spacing w:val="-2"/>
                <w:sz w:val="22"/>
              </w:rPr>
              <w:t> </w:t>
            </w:r>
            <w:r>
              <w:rPr>
                <w:sz w:val="22"/>
              </w:rPr>
              <w:t>695</w:t>
            </w:r>
            <w:r>
              <w:rPr>
                <w:spacing w:val="-2"/>
                <w:sz w:val="22"/>
              </w:rPr>
              <w:t> </w:t>
            </w:r>
            <w:r>
              <w:rPr>
                <w:spacing w:val="-5"/>
                <w:sz w:val="22"/>
              </w:rPr>
              <w:t>701</w:t>
            </w:r>
          </w:p>
        </w:tc>
        <w:tc>
          <w:tcPr>
            <w:tcW w:w="1847" w:type="dxa"/>
          </w:tcPr>
          <w:p>
            <w:pPr>
              <w:pStyle w:val="TableParagraph"/>
              <w:spacing w:line="258" w:lineRule="exact"/>
              <w:ind w:right="330"/>
              <w:jc w:val="right"/>
              <w:rPr>
                <w:sz w:val="22"/>
              </w:rPr>
            </w:pPr>
            <w:r>
              <w:rPr>
                <w:sz w:val="22"/>
              </w:rPr>
              <w:t>25</w:t>
            </w:r>
            <w:r>
              <w:rPr>
                <w:spacing w:val="-2"/>
                <w:sz w:val="22"/>
              </w:rPr>
              <w:t> </w:t>
            </w:r>
            <w:r>
              <w:rPr>
                <w:sz w:val="22"/>
              </w:rPr>
              <w:t>406</w:t>
            </w:r>
            <w:r>
              <w:rPr>
                <w:spacing w:val="-2"/>
                <w:sz w:val="22"/>
              </w:rPr>
              <w:t> </w:t>
            </w:r>
            <w:r>
              <w:rPr>
                <w:spacing w:val="-5"/>
                <w:sz w:val="22"/>
              </w:rPr>
              <w:t>258</w:t>
            </w:r>
          </w:p>
        </w:tc>
        <w:tc>
          <w:tcPr>
            <w:tcW w:w="1597" w:type="dxa"/>
          </w:tcPr>
          <w:p>
            <w:pPr>
              <w:pStyle w:val="TableParagraph"/>
              <w:spacing w:line="258" w:lineRule="exact"/>
              <w:ind w:right="275"/>
              <w:jc w:val="right"/>
              <w:rPr>
                <w:sz w:val="22"/>
              </w:rPr>
            </w:pPr>
            <w:r>
              <w:rPr>
                <w:sz w:val="22"/>
              </w:rPr>
              <w:t>24</w:t>
            </w:r>
            <w:r>
              <w:rPr>
                <w:spacing w:val="-2"/>
                <w:sz w:val="22"/>
              </w:rPr>
              <w:t> </w:t>
            </w:r>
            <w:r>
              <w:rPr>
                <w:sz w:val="22"/>
              </w:rPr>
              <w:t>284</w:t>
            </w:r>
            <w:r>
              <w:rPr>
                <w:spacing w:val="-2"/>
                <w:sz w:val="22"/>
              </w:rPr>
              <w:t> </w:t>
            </w:r>
            <w:r>
              <w:rPr>
                <w:spacing w:val="-5"/>
                <w:sz w:val="22"/>
              </w:rPr>
              <w:t>472</w:t>
            </w:r>
          </w:p>
        </w:tc>
        <w:tc>
          <w:tcPr>
            <w:tcW w:w="1454" w:type="dxa"/>
          </w:tcPr>
          <w:p>
            <w:pPr>
              <w:pStyle w:val="TableParagraph"/>
              <w:spacing w:line="258" w:lineRule="exact"/>
              <w:ind w:right="76"/>
              <w:jc w:val="right"/>
              <w:rPr>
                <w:sz w:val="22"/>
              </w:rPr>
            </w:pPr>
            <w:r>
              <w:rPr>
                <w:sz w:val="22"/>
              </w:rPr>
              <w:t>25</w:t>
            </w:r>
            <w:r>
              <w:rPr>
                <w:spacing w:val="-2"/>
                <w:sz w:val="22"/>
              </w:rPr>
              <w:t> </w:t>
            </w:r>
            <w:r>
              <w:rPr>
                <w:sz w:val="22"/>
              </w:rPr>
              <w:t>406</w:t>
            </w:r>
            <w:r>
              <w:rPr>
                <w:spacing w:val="-2"/>
                <w:sz w:val="22"/>
              </w:rPr>
              <w:t> </w:t>
            </w:r>
            <w:r>
              <w:rPr>
                <w:spacing w:val="-5"/>
                <w:sz w:val="22"/>
              </w:rPr>
              <w:t>258</w:t>
            </w:r>
          </w:p>
        </w:tc>
      </w:tr>
      <w:tr>
        <w:trPr>
          <w:trHeight w:val="290" w:hRule="atLeast"/>
        </w:trPr>
        <w:tc>
          <w:tcPr>
            <w:tcW w:w="2758" w:type="dxa"/>
          </w:tcPr>
          <w:p>
            <w:pPr>
              <w:pStyle w:val="TableParagraph"/>
              <w:spacing w:line="260" w:lineRule="exact"/>
              <w:ind w:left="287"/>
              <w:rPr>
                <w:sz w:val="22"/>
              </w:rPr>
            </w:pPr>
            <w:r>
              <w:rPr>
                <w:spacing w:val="-2"/>
                <w:sz w:val="22"/>
              </w:rPr>
              <w:t>Sudeste</w:t>
            </w:r>
          </w:p>
        </w:tc>
        <w:tc>
          <w:tcPr>
            <w:tcW w:w="2556" w:type="dxa"/>
          </w:tcPr>
          <w:p>
            <w:pPr>
              <w:pStyle w:val="TableParagraph"/>
              <w:spacing w:line="260" w:lineRule="exact"/>
              <w:ind w:right="136"/>
              <w:jc w:val="right"/>
              <w:rPr>
                <w:sz w:val="22"/>
              </w:rPr>
            </w:pPr>
            <w:r>
              <w:rPr>
                <w:sz w:val="22"/>
              </w:rPr>
              <w:t>53</w:t>
            </w:r>
            <w:r>
              <w:rPr>
                <w:spacing w:val="-2"/>
                <w:sz w:val="22"/>
              </w:rPr>
              <w:t> </w:t>
            </w:r>
            <w:r>
              <w:rPr>
                <w:sz w:val="22"/>
              </w:rPr>
              <w:t>292</w:t>
            </w:r>
            <w:r>
              <w:rPr>
                <w:spacing w:val="-2"/>
                <w:sz w:val="22"/>
              </w:rPr>
              <w:t> </w:t>
            </w:r>
            <w:r>
              <w:rPr>
                <w:spacing w:val="-5"/>
                <w:sz w:val="22"/>
              </w:rPr>
              <w:t>747</w:t>
            </w:r>
          </w:p>
        </w:tc>
        <w:tc>
          <w:tcPr>
            <w:tcW w:w="1847" w:type="dxa"/>
          </w:tcPr>
          <w:p>
            <w:pPr>
              <w:pStyle w:val="TableParagraph"/>
              <w:spacing w:line="260" w:lineRule="exact"/>
              <w:ind w:right="330"/>
              <w:jc w:val="right"/>
              <w:rPr>
                <w:sz w:val="22"/>
              </w:rPr>
            </w:pPr>
            <w:r>
              <w:rPr>
                <w:sz w:val="22"/>
              </w:rPr>
              <w:t>44</w:t>
            </w:r>
            <w:r>
              <w:rPr>
                <w:spacing w:val="-2"/>
                <w:sz w:val="22"/>
              </w:rPr>
              <w:t> </w:t>
            </w:r>
            <w:r>
              <w:rPr>
                <w:sz w:val="22"/>
              </w:rPr>
              <w:t>364</w:t>
            </w:r>
            <w:r>
              <w:rPr>
                <w:spacing w:val="-2"/>
                <w:sz w:val="22"/>
              </w:rPr>
              <w:t> </w:t>
            </w:r>
            <w:r>
              <w:rPr>
                <w:spacing w:val="-5"/>
                <w:sz w:val="22"/>
              </w:rPr>
              <w:t>582</w:t>
            </w:r>
          </w:p>
        </w:tc>
        <w:tc>
          <w:tcPr>
            <w:tcW w:w="1597" w:type="dxa"/>
          </w:tcPr>
          <w:p>
            <w:pPr>
              <w:pStyle w:val="TableParagraph"/>
              <w:spacing w:line="260" w:lineRule="exact"/>
              <w:ind w:right="275"/>
              <w:jc w:val="right"/>
              <w:rPr>
                <w:sz w:val="22"/>
              </w:rPr>
            </w:pPr>
            <w:r>
              <w:rPr>
                <w:sz w:val="22"/>
              </w:rPr>
              <w:t>45</w:t>
            </w:r>
            <w:r>
              <w:rPr>
                <w:spacing w:val="-2"/>
                <w:sz w:val="22"/>
              </w:rPr>
              <w:t> </w:t>
            </w:r>
            <w:r>
              <w:rPr>
                <w:sz w:val="22"/>
              </w:rPr>
              <w:t>222</w:t>
            </w:r>
            <w:r>
              <w:rPr>
                <w:spacing w:val="-2"/>
                <w:sz w:val="22"/>
              </w:rPr>
              <w:t> </w:t>
            </w:r>
            <w:r>
              <w:rPr>
                <w:spacing w:val="-5"/>
                <w:sz w:val="22"/>
              </w:rPr>
              <w:t>481</w:t>
            </w:r>
          </w:p>
        </w:tc>
        <w:tc>
          <w:tcPr>
            <w:tcW w:w="1454" w:type="dxa"/>
          </w:tcPr>
          <w:p>
            <w:pPr>
              <w:pStyle w:val="TableParagraph"/>
              <w:spacing w:line="260" w:lineRule="exact"/>
              <w:ind w:right="76"/>
              <w:jc w:val="right"/>
              <w:rPr>
                <w:sz w:val="22"/>
              </w:rPr>
            </w:pPr>
            <w:r>
              <w:rPr>
                <w:sz w:val="22"/>
              </w:rPr>
              <w:t>44</w:t>
            </w:r>
            <w:r>
              <w:rPr>
                <w:spacing w:val="-2"/>
                <w:sz w:val="22"/>
              </w:rPr>
              <w:t> </w:t>
            </w:r>
            <w:r>
              <w:rPr>
                <w:sz w:val="22"/>
              </w:rPr>
              <w:t>364</w:t>
            </w:r>
            <w:r>
              <w:rPr>
                <w:spacing w:val="-2"/>
                <w:sz w:val="22"/>
              </w:rPr>
              <w:t> </w:t>
            </w:r>
            <w:r>
              <w:rPr>
                <w:spacing w:val="-5"/>
                <w:sz w:val="22"/>
              </w:rPr>
              <w:t>582</w:t>
            </w:r>
          </w:p>
        </w:tc>
      </w:tr>
      <w:tr>
        <w:trPr>
          <w:trHeight w:val="291" w:hRule="atLeast"/>
        </w:trPr>
        <w:tc>
          <w:tcPr>
            <w:tcW w:w="2758" w:type="dxa"/>
          </w:tcPr>
          <w:p>
            <w:pPr>
              <w:pStyle w:val="TableParagraph"/>
              <w:spacing w:line="258" w:lineRule="exact"/>
              <w:ind w:left="287"/>
              <w:rPr>
                <w:sz w:val="22"/>
              </w:rPr>
            </w:pPr>
            <w:r>
              <w:rPr>
                <w:spacing w:val="-5"/>
                <w:sz w:val="22"/>
              </w:rPr>
              <w:t>Sul</w:t>
            </w:r>
          </w:p>
        </w:tc>
        <w:tc>
          <w:tcPr>
            <w:tcW w:w="2556" w:type="dxa"/>
          </w:tcPr>
          <w:p>
            <w:pPr>
              <w:pStyle w:val="TableParagraph"/>
              <w:spacing w:line="258" w:lineRule="exact"/>
              <w:ind w:right="136"/>
              <w:jc w:val="right"/>
              <w:rPr>
                <w:sz w:val="22"/>
              </w:rPr>
            </w:pPr>
            <w:r>
              <w:rPr>
                <w:sz w:val="22"/>
              </w:rPr>
              <w:t>18</w:t>
            </w:r>
            <w:r>
              <w:rPr>
                <w:spacing w:val="-2"/>
                <w:sz w:val="22"/>
              </w:rPr>
              <w:t> </w:t>
            </w:r>
            <w:r>
              <w:rPr>
                <w:sz w:val="22"/>
              </w:rPr>
              <w:t>495</w:t>
            </w:r>
            <w:r>
              <w:rPr>
                <w:spacing w:val="-2"/>
                <w:sz w:val="22"/>
              </w:rPr>
              <w:t> </w:t>
            </w:r>
            <w:r>
              <w:rPr>
                <w:spacing w:val="-5"/>
                <w:sz w:val="22"/>
              </w:rPr>
              <w:t>682</w:t>
            </w:r>
          </w:p>
        </w:tc>
        <w:tc>
          <w:tcPr>
            <w:tcW w:w="1847" w:type="dxa"/>
          </w:tcPr>
          <w:p>
            <w:pPr>
              <w:pStyle w:val="TableParagraph"/>
              <w:spacing w:line="258" w:lineRule="exact"/>
              <w:ind w:right="330"/>
              <w:jc w:val="right"/>
              <w:rPr>
                <w:sz w:val="22"/>
              </w:rPr>
            </w:pPr>
            <w:r>
              <w:rPr>
                <w:sz w:val="22"/>
              </w:rPr>
              <w:t>15</w:t>
            </w:r>
            <w:r>
              <w:rPr>
                <w:spacing w:val="-2"/>
                <w:sz w:val="22"/>
              </w:rPr>
              <w:t> </w:t>
            </w:r>
            <w:r>
              <w:rPr>
                <w:sz w:val="22"/>
              </w:rPr>
              <w:t>312</w:t>
            </w:r>
            <w:r>
              <w:rPr>
                <w:spacing w:val="-2"/>
                <w:sz w:val="22"/>
              </w:rPr>
              <w:t> </w:t>
            </w:r>
            <w:r>
              <w:rPr>
                <w:spacing w:val="-5"/>
                <w:sz w:val="22"/>
              </w:rPr>
              <w:t>771</w:t>
            </w:r>
          </w:p>
        </w:tc>
        <w:tc>
          <w:tcPr>
            <w:tcW w:w="1597" w:type="dxa"/>
          </w:tcPr>
          <w:p>
            <w:pPr>
              <w:pStyle w:val="TableParagraph"/>
              <w:spacing w:line="258" w:lineRule="exact"/>
              <w:ind w:right="275"/>
              <w:jc w:val="right"/>
              <w:rPr>
                <w:sz w:val="22"/>
              </w:rPr>
            </w:pPr>
            <w:r>
              <w:rPr>
                <w:sz w:val="22"/>
              </w:rPr>
              <w:t>12</w:t>
            </w:r>
            <w:r>
              <w:rPr>
                <w:spacing w:val="-2"/>
                <w:sz w:val="22"/>
              </w:rPr>
              <w:t> </w:t>
            </w:r>
            <w:r>
              <w:rPr>
                <w:sz w:val="22"/>
              </w:rPr>
              <w:t>068</w:t>
            </w:r>
            <w:r>
              <w:rPr>
                <w:spacing w:val="-2"/>
                <w:sz w:val="22"/>
              </w:rPr>
              <w:t> </w:t>
            </w:r>
            <w:r>
              <w:rPr>
                <w:spacing w:val="-5"/>
                <w:sz w:val="22"/>
              </w:rPr>
              <w:t>385</w:t>
            </w:r>
          </w:p>
        </w:tc>
        <w:tc>
          <w:tcPr>
            <w:tcW w:w="1454" w:type="dxa"/>
          </w:tcPr>
          <w:p>
            <w:pPr>
              <w:pStyle w:val="TableParagraph"/>
              <w:spacing w:line="258" w:lineRule="exact"/>
              <w:ind w:right="76"/>
              <w:jc w:val="right"/>
              <w:rPr>
                <w:sz w:val="22"/>
              </w:rPr>
            </w:pPr>
            <w:r>
              <w:rPr>
                <w:sz w:val="22"/>
              </w:rPr>
              <w:t>15</w:t>
            </w:r>
            <w:r>
              <w:rPr>
                <w:spacing w:val="-2"/>
                <w:sz w:val="22"/>
              </w:rPr>
              <w:t> </w:t>
            </w:r>
            <w:r>
              <w:rPr>
                <w:sz w:val="22"/>
              </w:rPr>
              <w:t>312</w:t>
            </w:r>
            <w:r>
              <w:rPr>
                <w:spacing w:val="-2"/>
                <w:sz w:val="22"/>
              </w:rPr>
              <w:t> </w:t>
            </w:r>
            <w:r>
              <w:rPr>
                <w:spacing w:val="-5"/>
                <w:sz w:val="22"/>
              </w:rPr>
              <w:t>771</w:t>
            </w:r>
          </w:p>
        </w:tc>
      </w:tr>
      <w:tr>
        <w:trPr>
          <w:trHeight w:val="279" w:hRule="atLeast"/>
        </w:trPr>
        <w:tc>
          <w:tcPr>
            <w:tcW w:w="2758" w:type="dxa"/>
            <w:tcBorders>
              <w:bottom w:val="single" w:sz="8" w:space="0" w:color="000000"/>
            </w:tcBorders>
          </w:tcPr>
          <w:p>
            <w:pPr>
              <w:pStyle w:val="TableParagraph"/>
              <w:spacing w:line="259" w:lineRule="exact"/>
              <w:ind w:left="287"/>
              <w:rPr>
                <w:sz w:val="22"/>
              </w:rPr>
            </w:pPr>
            <w:r>
              <w:rPr>
                <w:spacing w:val="-2"/>
                <w:sz w:val="22"/>
              </w:rPr>
              <w:t>Centro-Oeste</w:t>
            </w:r>
          </w:p>
        </w:tc>
        <w:tc>
          <w:tcPr>
            <w:tcW w:w="2556" w:type="dxa"/>
            <w:tcBorders>
              <w:bottom w:val="single" w:sz="8" w:space="0" w:color="000000"/>
            </w:tcBorders>
          </w:tcPr>
          <w:p>
            <w:pPr>
              <w:pStyle w:val="TableParagraph"/>
              <w:spacing w:line="259" w:lineRule="exact"/>
              <w:ind w:right="136"/>
              <w:jc w:val="right"/>
              <w:rPr>
                <w:sz w:val="22"/>
              </w:rPr>
            </w:pPr>
            <w:r>
              <w:rPr>
                <w:sz w:val="22"/>
              </w:rPr>
              <w:t>9</w:t>
            </w:r>
            <w:r>
              <w:rPr>
                <w:spacing w:val="-2"/>
                <w:sz w:val="22"/>
              </w:rPr>
              <w:t> </w:t>
            </w:r>
            <w:r>
              <w:rPr>
                <w:sz w:val="22"/>
              </w:rPr>
              <w:t>847</w:t>
            </w:r>
            <w:r>
              <w:rPr>
                <w:spacing w:val="-2"/>
                <w:sz w:val="22"/>
              </w:rPr>
              <w:t> </w:t>
            </w:r>
            <w:r>
              <w:rPr>
                <w:spacing w:val="-5"/>
                <w:sz w:val="22"/>
              </w:rPr>
              <w:t>295</w:t>
            </w:r>
          </w:p>
        </w:tc>
        <w:tc>
          <w:tcPr>
            <w:tcW w:w="1847" w:type="dxa"/>
            <w:tcBorders>
              <w:bottom w:val="single" w:sz="8" w:space="0" w:color="000000"/>
            </w:tcBorders>
          </w:tcPr>
          <w:p>
            <w:pPr>
              <w:pStyle w:val="TableParagraph"/>
              <w:spacing w:line="259" w:lineRule="exact"/>
              <w:ind w:right="330"/>
              <w:jc w:val="right"/>
              <w:rPr>
                <w:sz w:val="22"/>
              </w:rPr>
            </w:pPr>
            <w:r>
              <w:rPr>
                <w:sz w:val="22"/>
              </w:rPr>
              <w:t>8</w:t>
            </w:r>
            <w:r>
              <w:rPr>
                <w:spacing w:val="-2"/>
                <w:sz w:val="22"/>
              </w:rPr>
              <w:t> </w:t>
            </w:r>
            <w:r>
              <w:rPr>
                <w:sz w:val="22"/>
              </w:rPr>
              <w:t>362</w:t>
            </w:r>
            <w:r>
              <w:rPr>
                <w:spacing w:val="-2"/>
                <w:sz w:val="22"/>
              </w:rPr>
              <w:t> </w:t>
            </w:r>
            <w:r>
              <w:rPr>
                <w:spacing w:val="-5"/>
                <w:sz w:val="22"/>
              </w:rPr>
              <w:t>624</w:t>
            </w:r>
          </w:p>
        </w:tc>
        <w:tc>
          <w:tcPr>
            <w:tcW w:w="1597" w:type="dxa"/>
            <w:tcBorders>
              <w:bottom w:val="single" w:sz="8" w:space="0" w:color="000000"/>
            </w:tcBorders>
          </w:tcPr>
          <w:p>
            <w:pPr>
              <w:pStyle w:val="TableParagraph"/>
              <w:spacing w:line="259" w:lineRule="exact"/>
              <w:ind w:right="275"/>
              <w:jc w:val="right"/>
              <w:rPr>
                <w:sz w:val="22"/>
              </w:rPr>
            </w:pPr>
            <w:r>
              <w:rPr>
                <w:sz w:val="22"/>
              </w:rPr>
              <w:t>8</w:t>
            </w:r>
            <w:r>
              <w:rPr>
                <w:spacing w:val="-2"/>
                <w:sz w:val="22"/>
              </w:rPr>
              <w:t> </w:t>
            </w:r>
            <w:r>
              <w:rPr>
                <w:sz w:val="22"/>
              </w:rPr>
              <w:t>059</w:t>
            </w:r>
            <w:r>
              <w:rPr>
                <w:spacing w:val="-2"/>
                <w:sz w:val="22"/>
              </w:rPr>
              <w:t> </w:t>
            </w:r>
            <w:r>
              <w:rPr>
                <w:spacing w:val="-5"/>
                <w:sz w:val="22"/>
              </w:rPr>
              <w:t>986</w:t>
            </w:r>
          </w:p>
        </w:tc>
        <w:tc>
          <w:tcPr>
            <w:tcW w:w="1454" w:type="dxa"/>
            <w:tcBorders>
              <w:bottom w:val="single" w:sz="8" w:space="0" w:color="000000"/>
            </w:tcBorders>
          </w:tcPr>
          <w:p>
            <w:pPr>
              <w:pStyle w:val="TableParagraph"/>
              <w:spacing w:line="259" w:lineRule="exact"/>
              <w:ind w:right="76"/>
              <w:jc w:val="right"/>
              <w:rPr>
                <w:sz w:val="22"/>
              </w:rPr>
            </w:pPr>
            <w:r>
              <w:rPr>
                <w:sz w:val="22"/>
              </w:rPr>
              <w:t>8</w:t>
            </w:r>
            <w:r>
              <w:rPr>
                <w:spacing w:val="-2"/>
                <w:sz w:val="22"/>
              </w:rPr>
              <w:t> </w:t>
            </w:r>
            <w:r>
              <w:rPr>
                <w:sz w:val="22"/>
              </w:rPr>
              <w:t>362</w:t>
            </w:r>
            <w:r>
              <w:rPr>
                <w:spacing w:val="-2"/>
                <w:sz w:val="22"/>
              </w:rPr>
              <w:t> </w:t>
            </w:r>
            <w:r>
              <w:rPr>
                <w:spacing w:val="-5"/>
                <w:sz w:val="22"/>
              </w:rPr>
              <w:t>624</w:t>
            </w:r>
          </w:p>
        </w:tc>
      </w:tr>
      <w:tr>
        <w:trPr>
          <w:trHeight w:val="275" w:hRule="atLeast"/>
        </w:trPr>
        <w:tc>
          <w:tcPr>
            <w:tcW w:w="2758" w:type="dxa"/>
            <w:tcBorders>
              <w:top w:val="single" w:sz="8" w:space="0" w:color="000000"/>
            </w:tcBorders>
          </w:tcPr>
          <w:p>
            <w:pPr>
              <w:pStyle w:val="TableParagraph"/>
              <w:spacing w:line="244" w:lineRule="exact" w:before="10"/>
              <w:ind w:left="67"/>
              <w:rPr>
                <w:b/>
                <w:sz w:val="22"/>
              </w:rPr>
            </w:pPr>
            <w:r>
              <w:rPr>
                <w:b/>
                <w:spacing w:val="-2"/>
                <w:sz w:val="22"/>
              </w:rPr>
              <w:t>Total</w:t>
            </w:r>
          </w:p>
        </w:tc>
        <w:tc>
          <w:tcPr>
            <w:tcW w:w="2556" w:type="dxa"/>
            <w:tcBorders>
              <w:top w:val="single" w:sz="8" w:space="0" w:color="000000"/>
            </w:tcBorders>
          </w:tcPr>
          <w:p>
            <w:pPr>
              <w:pStyle w:val="TableParagraph"/>
              <w:spacing w:line="244" w:lineRule="exact" w:before="10"/>
              <w:ind w:right="136"/>
              <w:jc w:val="right"/>
              <w:rPr>
                <w:sz w:val="22"/>
              </w:rPr>
            </w:pPr>
            <w:r>
              <w:rPr>
                <w:sz w:val="22"/>
              </w:rPr>
              <w:t>121</w:t>
            </w:r>
            <w:r>
              <w:rPr>
                <w:spacing w:val="-2"/>
                <w:sz w:val="22"/>
              </w:rPr>
              <w:t> </w:t>
            </w:r>
            <w:r>
              <w:rPr>
                <w:sz w:val="22"/>
              </w:rPr>
              <w:t>475</w:t>
            </w:r>
            <w:r>
              <w:rPr>
                <w:spacing w:val="-2"/>
                <w:sz w:val="22"/>
              </w:rPr>
              <w:t> </w:t>
            </w:r>
            <w:r>
              <w:rPr>
                <w:spacing w:val="-5"/>
                <w:sz w:val="22"/>
              </w:rPr>
              <w:t>721</w:t>
            </w:r>
          </w:p>
        </w:tc>
        <w:tc>
          <w:tcPr>
            <w:tcW w:w="1847" w:type="dxa"/>
            <w:tcBorders>
              <w:top w:val="single" w:sz="8" w:space="0" w:color="000000"/>
            </w:tcBorders>
          </w:tcPr>
          <w:p>
            <w:pPr>
              <w:pStyle w:val="TableParagraph"/>
              <w:spacing w:line="244" w:lineRule="exact" w:before="10"/>
              <w:ind w:right="330"/>
              <w:jc w:val="right"/>
              <w:rPr>
                <w:sz w:val="22"/>
              </w:rPr>
            </w:pPr>
            <w:r>
              <w:rPr>
                <w:sz w:val="22"/>
              </w:rPr>
              <w:t>101</w:t>
            </w:r>
            <w:r>
              <w:rPr>
                <w:spacing w:val="-2"/>
                <w:sz w:val="22"/>
              </w:rPr>
              <w:t> </w:t>
            </w:r>
            <w:r>
              <w:rPr>
                <w:sz w:val="22"/>
              </w:rPr>
              <w:t>176</w:t>
            </w:r>
            <w:r>
              <w:rPr>
                <w:spacing w:val="-2"/>
                <w:sz w:val="22"/>
              </w:rPr>
              <w:t> </w:t>
            </w:r>
            <w:r>
              <w:rPr>
                <w:spacing w:val="-5"/>
                <w:sz w:val="22"/>
              </w:rPr>
              <w:t>009</w:t>
            </w:r>
          </w:p>
        </w:tc>
        <w:tc>
          <w:tcPr>
            <w:tcW w:w="1597" w:type="dxa"/>
            <w:tcBorders>
              <w:top w:val="single" w:sz="8" w:space="0" w:color="000000"/>
            </w:tcBorders>
          </w:tcPr>
          <w:p>
            <w:pPr>
              <w:pStyle w:val="TableParagraph"/>
              <w:spacing w:line="244" w:lineRule="exact" w:before="10"/>
              <w:ind w:right="275"/>
              <w:jc w:val="right"/>
              <w:rPr>
                <w:sz w:val="22"/>
              </w:rPr>
            </w:pPr>
            <w:r>
              <w:rPr>
                <w:sz w:val="22"/>
              </w:rPr>
              <w:t>97</w:t>
            </w:r>
            <w:r>
              <w:rPr>
                <w:spacing w:val="-2"/>
                <w:sz w:val="22"/>
              </w:rPr>
              <w:t> </w:t>
            </w:r>
            <w:r>
              <w:rPr>
                <w:sz w:val="22"/>
              </w:rPr>
              <w:t>154</w:t>
            </w:r>
            <w:r>
              <w:rPr>
                <w:spacing w:val="-2"/>
                <w:sz w:val="22"/>
              </w:rPr>
              <w:t> </w:t>
            </w:r>
            <w:r>
              <w:rPr>
                <w:spacing w:val="-5"/>
                <w:sz w:val="22"/>
              </w:rPr>
              <w:t>656</w:t>
            </w:r>
          </w:p>
        </w:tc>
        <w:tc>
          <w:tcPr>
            <w:tcW w:w="1454" w:type="dxa"/>
            <w:tcBorders>
              <w:top w:val="single" w:sz="8" w:space="0" w:color="000000"/>
            </w:tcBorders>
          </w:tcPr>
          <w:p>
            <w:pPr>
              <w:pStyle w:val="TableParagraph"/>
              <w:spacing w:line="244" w:lineRule="exact" w:before="10"/>
              <w:ind w:right="76"/>
              <w:jc w:val="right"/>
              <w:rPr>
                <w:sz w:val="22"/>
              </w:rPr>
            </w:pPr>
            <w:r>
              <w:rPr>
                <w:sz w:val="22"/>
              </w:rPr>
              <w:t>101</w:t>
            </w:r>
            <w:r>
              <w:rPr>
                <w:spacing w:val="-2"/>
                <w:sz w:val="22"/>
              </w:rPr>
              <w:t> </w:t>
            </w:r>
            <w:r>
              <w:rPr>
                <w:sz w:val="22"/>
              </w:rPr>
              <w:t>176</w:t>
            </w:r>
            <w:r>
              <w:rPr>
                <w:spacing w:val="-2"/>
                <w:sz w:val="22"/>
              </w:rPr>
              <w:t> </w:t>
            </w:r>
            <w:r>
              <w:rPr>
                <w:spacing w:val="-5"/>
                <w:sz w:val="22"/>
              </w:rPr>
              <w:t>009</w:t>
            </w:r>
          </w:p>
        </w:tc>
      </w:tr>
    </w:tbl>
    <w:p>
      <w:pPr>
        <w:spacing w:before="27"/>
        <w:ind w:left="184" w:right="0" w:firstLine="0"/>
        <w:jc w:val="left"/>
        <w:rPr>
          <w:sz w:val="18"/>
        </w:rPr>
      </w:pPr>
      <w:r>
        <w:rPr>
          <w:sz w:val="18"/>
        </w:rPr>
        <w:t>Fonte:</w:t>
      </w:r>
      <w:r>
        <w:rPr>
          <w:spacing w:val="-4"/>
          <w:sz w:val="18"/>
        </w:rPr>
        <w:t> </w:t>
      </w:r>
      <w:r>
        <w:rPr>
          <w:sz w:val="18"/>
        </w:rPr>
        <w:t>CGI.br,</w:t>
      </w:r>
      <w:r>
        <w:rPr>
          <w:spacing w:val="-4"/>
          <w:sz w:val="18"/>
        </w:rPr>
        <w:t> </w:t>
      </w:r>
      <w:r>
        <w:rPr>
          <w:sz w:val="18"/>
        </w:rPr>
        <w:t>Pesquisa</w:t>
      </w:r>
      <w:r>
        <w:rPr>
          <w:spacing w:val="-2"/>
          <w:sz w:val="18"/>
        </w:rPr>
        <w:t> </w:t>
      </w:r>
      <w:r>
        <w:rPr>
          <w:sz w:val="18"/>
        </w:rPr>
        <w:t>TIC</w:t>
      </w:r>
      <w:r>
        <w:rPr>
          <w:spacing w:val="-4"/>
          <w:sz w:val="18"/>
        </w:rPr>
        <w:t> </w:t>
      </w:r>
      <w:r>
        <w:rPr>
          <w:sz w:val="18"/>
        </w:rPr>
        <w:t>Domicílios</w:t>
      </w:r>
      <w:r>
        <w:rPr>
          <w:spacing w:val="-2"/>
          <w:sz w:val="18"/>
        </w:rPr>
        <w:t> </w:t>
      </w:r>
      <w:r>
        <w:rPr>
          <w:sz w:val="18"/>
        </w:rPr>
        <w:t>2019</w:t>
      </w:r>
      <w:r>
        <w:rPr>
          <w:spacing w:val="-3"/>
          <w:sz w:val="18"/>
        </w:rPr>
        <w:t> </w:t>
      </w:r>
      <w:r>
        <w:rPr>
          <w:spacing w:val="-2"/>
          <w:sz w:val="18"/>
        </w:rPr>
        <w:t>(2020).</w:t>
      </w:r>
    </w:p>
    <w:p>
      <w:pPr>
        <w:spacing w:after="0"/>
        <w:jc w:val="left"/>
        <w:rPr>
          <w:sz w:val="18"/>
        </w:rPr>
        <w:sectPr>
          <w:pgSz w:w="11910" w:h="16840"/>
          <w:pgMar w:header="737" w:footer="1652" w:top="2180" w:bottom="1840" w:left="708" w:right="708"/>
        </w:sectPr>
      </w:pPr>
    </w:p>
    <w:p>
      <w:pPr>
        <w:pStyle w:val="BodyText"/>
      </w:pPr>
    </w:p>
    <w:p>
      <w:pPr>
        <w:pStyle w:val="BodyText"/>
        <w:spacing w:before="243"/>
      </w:pPr>
    </w:p>
    <w:p>
      <w:pPr>
        <w:pStyle w:val="Heading2"/>
        <w:numPr>
          <w:ilvl w:val="2"/>
          <w:numId w:val="1"/>
        </w:numPr>
        <w:tabs>
          <w:tab w:pos="636" w:val="left" w:leader="none"/>
        </w:tabs>
        <w:spacing w:line="276" w:lineRule="auto" w:before="0" w:after="0"/>
        <w:ind w:left="144" w:right="139" w:firstLine="0"/>
        <w:jc w:val="left"/>
      </w:pPr>
      <w:r>
        <w:rPr/>
        <w:t>-</w:t>
      </w:r>
      <w:r>
        <w:rPr>
          <w:spacing w:val="-10"/>
        </w:rPr>
        <w:t> </w:t>
      </w:r>
      <w:r>
        <w:rPr/>
        <w:t>ETAPA</w:t>
      </w:r>
      <w:r>
        <w:rPr>
          <w:spacing w:val="-11"/>
        </w:rPr>
        <w:t> </w:t>
      </w:r>
      <w:r>
        <w:rPr/>
        <w:t>2</w:t>
      </w:r>
      <w:r>
        <w:rPr>
          <w:spacing w:val="-6"/>
        </w:rPr>
        <w:t> </w:t>
      </w:r>
      <w:r>
        <w:rPr/>
        <w:t>-</w:t>
      </w:r>
      <w:r>
        <w:rPr>
          <w:spacing w:val="-5"/>
        </w:rPr>
        <w:t> </w:t>
      </w:r>
      <w:r>
        <w:rPr/>
        <w:t>Estimação</w:t>
      </w:r>
      <w:r>
        <w:rPr>
          <w:spacing w:val="-9"/>
        </w:rPr>
        <w:t> </w:t>
      </w:r>
      <w:r>
        <w:rPr/>
        <w:t>de</w:t>
      </w:r>
      <w:r>
        <w:rPr>
          <w:spacing w:val="-9"/>
        </w:rPr>
        <w:t> </w:t>
      </w:r>
      <w:r>
        <w:rPr/>
        <w:t>pseudo-probabilidades</w:t>
      </w:r>
      <w:r>
        <w:rPr>
          <w:spacing w:val="-8"/>
        </w:rPr>
        <w:t> </w:t>
      </w:r>
      <w:r>
        <w:rPr/>
        <w:t>de</w:t>
      </w:r>
      <w:r>
        <w:rPr>
          <w:spacing w:val="-9"/>
        </w:rPr>
        <w:t> </w:t>
      </w:r>
      <w:r>
        <w:rPr/>
        <w:t>inclusão</w:t>
      </w:r>
      <w:r>
        <w:rPr>
          <w:spacing w:val="-9"/>
        </w:rPr>
        <w:t> </w:t>
      </w:r>
      <w:r>
        <w:rPr/>
        <w:t>para</w:t>
      </w:r>
      <w:r>
        <w:rPr>
          <w:spacing w:val="-11"/>
        </w:rPr>
        <w:t> </w:t>
      </w:r>
      <w:r>
        <w:rPr/>
        <w:t>determinação</w:t>
      </w:r>
      <w:r>
        <w:rPr>
          <w:spacing w:val="-9"/>
        </w:rPr>
        <w:t> </w:t>
      </w:r>
      <w:r>
        <w:rPr/>
        <w:t>de</w:t>
      </w:r>
      <w:r>
        <w:rPr>
          <w:spacing w:val="-9"/>
        </w:rPr>
        <w:t> </w:t>
      </w:r>
      <w:r>
        <w:rPr/>
        <w:t>pesos</w:t>
      </w:r>
      <w:r>
        <w:rPr>
          <w:spacing w:val="-10"/>
        </w:rPr>
        <w:t> </w:t>
      </w:r>
      <w:r>
        <w:rPr/>
        <w:t>dos</w:t>
      </w:r>
      <w:r>
        <w:rPr>
          <w:spacing w:val="-10"/>
        </w:rPr>
        <w:t> </w:t>
      </w:r>
      <w:r>
        <w:rPr/>
        <w:t>respondentes do Painel TIC COVID-19</w:t>
      </w:r>
    </w:p>
    <w:p>
      <w:pPr>
        <w:pStyle w:val="BodyText"/>
        <w:spacing w:line="276" w:lineRule="auto" w:before="243"/>
        <w:ind w:left="144" w:right="139"/>
        <w:jc w:val="both"/>
      </w:pPr>
      <w:r>
        <w:rPr/>
        <w:t>O processo de estimação de pseudo-pesos consiste na estimação de pseudo-probabilidades de inclusão dos respondentes do Painel TIC COVID-19 (amostra não probabilística) na pesquisa TIC Domicílios 2019 (amostra probabilística), e usar seus recíprocos como pesos, tal como em uma pesquisa por amostragem probabilística tradicional. Com isso, estima-se a probabilidade de um indivíduo ser selecionado e responder à pesquisa TIC Domicílios 2019 com base em variáveis independentes (</w:t>
      </w:r>
      <w:r>
        <w:rPr>
          <w:b/>
        </w:rPr>
        <w:t>X</w:t>
      </w:r>
      <w:r>
        <w:rPr/>
        <w:t>) relacionadas ao perfil dos entrevistados, considerando que, dadas essas variáveis (</w:t>
      </w:r>
      <w:r>
        <w:rPr>
          <w:b/>
        </w:rPr>
        <w:t>X</w:t>
      </w:r>
      <w:r>
        <w:rPr/>
        <w:t>), as probabilidades de inclusão são independentes das variáveis de interesse da </w:t>
      </w:r>
      <w:r>
        <w:rPr>
          <w:spacing w:val="-2"/>
        </w:rPr>
        <w:t>pesquisa.</w:t>
      </w:r>
    </w:p>
    <w:p>
      <w:pPr>
        <w:pStyle w:val="BodyText"/>
        <w:spacing w:line="276" w:lineRule="auto" w:before="239"/>
        <w:ind w:left="144" w:right="142"/>
        <w:jc w:val="both"/>
      </w:pPr>
      <w:r>
        <w:rPr/>
        <w:t>Para estimar as pseudo-probabilidades, os dados de ambas as amostras (probabilística e não probabilística) são empilhados em uma única base de dados, e as probabilidades de inclusão são estimadas por meio de um modelo de regressão logística que leva em consideração o plano amostral da pesquisa probabilística de referência.</w:t>
      </w:r>
    </w:p>
    <w:p>
      <w:pPr>
        <w:pStyle w:val="BodyText"/>
        <w:spacing w:line="276" w:lineRule="auto" w:before="241"/>
        <w:ind w:left="144" w:right="136"/>
        <w:jc w:val="both"/>
      </w:pPr>
      <w:r>
        <w:rPr/>
        <w:t>Para esse estudo foram consideradas quatro diferentes possibilidades, conforme os recortes de população estabelecidos na seção anterior. Tais recortes visaram identificar a população suporte comum das duas pesquisas avaliando os pesos obtidos, como sugere Valliant (2019).</w:t>
      </w:r>
    </w:p>
    <w:p>
      <w:pPr>
        <w:pStyle w:val="BodyText"/>
        <w:spacing w:before="238"/>
        <w:ind w:left="144"/>
        <w:jc w:val="both"/>
      </w:pPr>
      <w:r>
        <w:rPr/>
        <w:t>O</w:t>
      </w:r>
      <w:r>
        <w:rPr>
          <w:spacing w:val="-9"/>
        </w:rPr>
        <w:t> </w:t>
      </w:r>
      <w:r>
        <w:rPr/>
        <w:t>processo</w:t>
      </w:r>
      <w:r>
        <w:rPr>
          <w:spacing w:val="-4"/>
        </w:rPr>
        <w:t> </w:t>
      </w:r>
      <w:r>
        <w:rPr/>
        <w:t>de</w:t>
      </w:r>
      <w:r>
        <w:rPr>
          <w:spacing w:val="-6"/>
        </w:rPr>
        <w:t> </w:t>
      </w:r>
      <w:r>
        <w:rPr/>
        <w:t>estimação</w:t>
      </w:r>
      <w:r>
        <w:rPr>
          <w:spacing w:val="-4"/>
        </w:rPr>
        <w:t> </w:t>
      </w:r>
      <w:r>
        <w:rPr/>
        <w:t>de</w:t>
      </w:r>
      <w:r>
        <w:rPr>
          <w:spacing w:val="-1"/>
        </w:rPr>
        <w:t> </w:t>
      </w:r>
      <w:r>
        <w:rPr/>
        <w:t>pseudo-probabilidades</w:t>
      </w:r>
      <w:r>
        <w:rPr>
          <w:spacing w:val="-3"/>
        </w:rPr>
        <w:t> </w:t>
      </w:r>
      <w:r>
        <w:rPr/>
        <w:t>empregou</w:t>
      </w:r>
      <w:r>
        <w:rPr>
          <w:spacing w:val="-4"/>
        </w:rPr>
        <w:t> </w:t>
      </w:r>
      <w:r>
        <w:rPr/>
        <w:t>os</w:t>
      </w:r>
      <w:r>
        <w:rPr>
          <w:spacing w:val="-4"/>
        </w:rPr>
        <w:t> </w:t>
      </w:r>
      <w:r>
        <w:rPr/>
        <w:t>seguintes</w:t>
      </w:r>
      <w:r>
        <w:rPr>
          <w:spacing w:val="-3"/>
        </w:rPr>
        <w:t> </w:t>
      </w:r>
      <w:r>
        <w:rPr>
          <w:spacing w:val="-2"/>
        </w:rPr>
        <w:t>passos:</w:t>
      </w:r>
    </w:p>
    <w:p>
      <w:pPr>
        <w:pStyle w:val="BodyText"/>
        <w:spacing w:before="15"/>
      </w:pPr>
    </w:p>
    <w:p>
      <w:pPr>
        <w:pStyle w:val="ListParagraph"/>
        <w:numPr>
          <w:ilvl w:val="3"/>
          <w:numId w:val="1"/>
        </w:numPr>
        <w:tabs>
          <w:tab w:pos="864" w:val="left" w:leader="none"/>
        </w:tabs>
        <w:spacing w:line="259" w:lineRule="auto" w:before="0" w:after="0"/>
        <w:ind w:left="864" w:right="140" w:hanging="472"/>
        <w:jc w:val="both"/>
        <w:rPr>
          <w:sz w:val="22"/>
        </w:rPr>
      </w:pPr>
      <w:r>
        <w:rPr>
          <w:sz w:val="22"/>
        </w:rPr>
        <w:t>União dos casos em uma mesma base de dados (empilhamento), garantindo a presença de variáveis independentes</w:t>
      </w:r>
      <w:r>
        <w:rPr>
          <w:spacing w:val="-6"/>
          <w:sz w:val="22"/>
        </w:rPr>
        <w:t> </w:t>
      </w:r>
      <w:r>
        <w:rPr>
          <w:sz w:val="22"/>
        </w:rPr>
        <w:t>comuns</w:t>
      </w:r>
      <w:r>
        <w:rPr>
          <w:spacing w:val="-6"/>
          <w:sz w:val="22"/>
        </w:rPr>
        <w:t> </w:t>
      </w:r>
      <w:r>
        <w:rPr>
          <w:sz w:val="22"/>
        </w:rPr>
        <w:t>(</w:t>
      </w:r>
      <w:r>
        <w:rPr>
          <w:b/>
          <w:sz w:val="22"/>
        </w:rPr>
        <w:t>X</w:t>
      </w:r>
      <w:r>
        <w:rPr>
          <w:sz w:val="22"/>
        </w:rPr>
        <w:t>),</w:t>
      </w:r>
      <w:r>
        <w:rPr>
          <w:spacing w:val="-7"/>
          <w:sz w:val="22"/>
        </w:rPr>
        <w:t> </w:t>
      </w:r>
      <w:r>
        <w:rPr>
          <w:sz w:val="22"/>
        </w:rPr>
        <w:t>coletadas</w:t>
      </w:r>
      <w:r>
        <w:rPr>
          <w:spacing w:val="-6"/>
          <w:sz w:val="22"/>
        </w:rPr>
        <w:t> </w:t>
      </w:r>
      <w:r>
        <w:rPr>
          <w:sz w:val="22"/>
        </w:rPr>
        <w:t>segundo</w:t>
      </w:r>
      <w:r>
        <w:rPr>
          <w:spacing w:val="-8"/>
          <w:sz w:val="22"/>
        </w:rPr>
        <w:t> </w:t>
      </w:r>
      <w:r>
        <w:rPr>
          <w:sz w:val="22"/>
        </w:rPr>
        <w:t>os</w:t>
      </w:r>
      <w:r>
        <w:rPr>
          <w:spacing w:val="-6"/>
          <w:sz w:val="22"/>
        </w:rPr>
        <w:t> </w:t>
      </w:r>
      <w:r>
        <w:rPr>
          <w:sz w:val="22"/>
        </w:rPr>
        <w:t>mesmos</w:t>
      </w:r>
      <w:r>
        <w:rPr>
          <w:spacing w:val="-6"/>
          <w:sz w:val="22"/>
        </w:rPr>
        <w:t> </w:t>
      </w:r>
      <w:r>
        <w:rPr>
          <w:sz w:val="22"/>
        </w:rPr>
        <w:t>critérios</w:t>
      </w:r>
      <w:r>
        <w:rPr>
          <w:spacing w:val="-6"/>
          <w:sz w:val="22"/>
        </w:rPr>
        <w:t> </w:t>
      </w:r>
      <w:r>
        <w:rPr>
          <w:sz w:val="22"/>
        </w:rPr>
        <w:t>e</w:t>
      </w:r>
      <w:r>
        <w:rPr>
          <w:spacing w:val="-6"/>
          <w:sz w:val="22"/>
        </w:rPr>
        <w:t> </w:t>
      </w:r>
      <w:r>
        <w:rPr>
          <w:sz w:val="22"/>
        </w:rPr>
        <w:t>conceitos.</w:t>
      </w:r>
      <w:r>
        <w:rPr>
          <w:spacing w:val="-8"/>
          <w:sz w:val="22"/>
        </w:rPr>
        <w:t> </w:t>
      </w:r>
      <w:r>
        <w:rPr>
          <w:sz w:val="22"/>
        </w:rPr>
        <w:t>Nesta</w:t>
      </w:r>
      <w:r>
        <w:rPr>
          <w:spacing w:val="-6"/>
          <w:sz w:val="22"/>
        </w:rPr>
        <w:t> </w:t>
      </w:r>
      <w:r>
        <w:rPr>
          <w:sz w:val="22"/>
        </w:rPr>
        <w:t>base,</w:t>
      </w:r>
      <w:r>
        <w:rPr>
          <w:spacing w:val="-7"/>
          <w:sz w:val="22"/>
        </w:rPr>
        <w:t> </w:t>
      </w:r>
      <w:r>
        <w:rPr>
          <w:sz w:val="22"/>
        </w:rPr>
        <w:t>foi</w:t>
      </w:r>
      <w:r>
        <w:rPr>
          <w:spacing w:val="-7"/>
          <w:sz w:val="22"/>
        </w:rPr>
        <w:t> </w:t>
      </w:r>
      <w:r>
        <w:rPr>
          <w:sz w:val="22"/>
        </w:rPr>
        <w:t>criada</w:t>
      </w:r>
      <w:r>
        <w:rPr>
          <w:spacing w:val="-5"/>
          <w:sz w:val="22"/>
        </w:rPr>
        <w:t> </w:t>
      </w:r>
      <w:r>
        <w:rPr>
          <w:sz w:val="22"/>
        </w:rPr>
        <w:t>uma variável indicadora </w:t>
      </w:r>
      <w:r>
        <w:rPr>
          <w:b/>
          <w:sz w:val="22"/>
        </w:rPr>
        <w:t>Z</w:t>
      </w:r>
      <w:r>
        <w:rPr>
          <w:sz w:val="22"/>
        </w:rPr>
        <w:t>, que assume o valor 1 para respondentes do Painel TIC COVID-19 (amostra não probabilística) e o valor 0 para respondentes da TIC Domicílios 2019 (amostra probabilística);</w:t>
      </w:r>
    </w:p>
    <w:p>
      <w:pPr>
        <w:pStyle w:val="ListParagraph"/>
        <w:numPr>
          <w:ilvl w:val="3"/>
          <w:numId w:val="1"/>
        </w:numPr>
        <w:tabs>
          <w:tab w:pos="862" w:val="left" w:leader="none"/>
          <w:tab w:pos="864" w:val="left" w:leader="none"/>
        </w:tabs>
        <w:spacing w:line="261" w:lineRule="auto" w:before="0" w:after="0"/>
        <w:ind w:left="864" w:right="153" w:hanging="528"/>
        <w:jc w:val="both"/>
        <w:rPr>
          <w:sz w:val="22"/>
        </w:rPr>
      </w:pPr>
      <w:r>
        <w:rPr>
          <w:sz w:val="22"/>
        </w:rPr>
        <w:t>Criação de uma coluna de pesos neste arquivo, a qual considera os pesos provenientes da amostra probabilística (para os seus casos) e peso igual a 1 para os casos da amostra não probabilística;</w:t>
      </w:r>
    </w:p>
    <w:p>
      <w:pPr>
        <w:pStyle w:val="ListParagraph"/>
        <w:numPr>
          <w:ilvl w:val="3"/>
          <w:numId w:val="1"/>
        </w:numPr>
        <w:tabs>
          <w:tab w:pos="861" w:val="left" w:leader="none"/>
          <w:tab w:pos="864" w:val="left" w:leader="none"/>
        </w:tabs>
        <w:spacing w:line="259" w:lineRule="auto" w:before="0" w:after="0"/>
        <w:ind w:left="864" w:right="142" w:hanging="580"/>
        <w:jc w:val="both"/>
        <w:rPr>
          <w:sz w:val="22"/>
        </w:rPr>
      </w:pPr>
      <w:r>
        <w:rPr>
          <w:sz w:val="22"/>
        </w:rPr>
        <w:t>Ajuste</w:t>
      </w:r>
      <w:r>
        <w:rPr>
          <w:spacing w:val="-2"/>
          <w:sz w:val="22"/>
        </w:rPr>
        <w:t> </w:t>
      </w:r>
      <w:r>
        <w:rPr>
          <w:sz w:val="22"/>
        </w:rPr>
        <w:t>de</w:t>
      </w:r>
      <w:r>
        <w:rPr>
          <w:spacing w:val="-2"/>
          <w:sz w:val="22"/>
        </w:rPr>
        <w:t> </w:t>
      </w:r>
      <w:r>
        <w:rPr>
          <w:sz w:val="22"/>
        </w:rPr>
        <w:t>um modelo de</w:t>
      </w:r>
      <w:r>
        <w:rPr>
          <w:spacing w:val="-2"/>
          <w:sz w:val="22"/>
        </w:rPr>
        <w:t> </w:t>
      </w:r>
      <w:r>
        <w:rPr>
          <w:sz w:val="22"/>
        </w:rPr>
        <w:t>regressão logística</w:t>
      </w:r>
      <w:r>
        <w:rPr>
          <w:spacing w:val="-2"/>
          <w:sz w:val="22"/>
        </w:rPr>
        <w:t> </w:t>
      </w:r>
      <w:r>
        <w:rPr>
          <w:sz w:val="22"/>
        </w:rPr>
        <w:t>tendo a</w:t>
      </w:r>
      <w:r>
        <w:rPr>
          <w:spacing w:val="-2"/>
          <w:sz w:val="22"/>
        </w:rPr>
        <w:t> </w:t>
      </w:r>
      <w:r>
        <w:rPr>
          <w:sz w:val="22"/>
        </w:rPr>
        <w:t>variável </w:t>
      </w:r>
      <w:r>
        <w:rPr>
          <w:b/>
          <w:sz w:val="22"/>
        </w:rPr>
        <w:t>Z </w:t>
      </w:r>
      <w:r>
        <w:rPr>
          <w:sz w:val="22"/>
        </w:rPr>
        <w:t>como resposta, levando em consideração o desenho</w:t>
      </w:r>
      <w:r>
        <w:rPr>
          <w:spacing w:val="-3"/>
          <w:sz w:val="22"/>
        </w:rPr>
        <w:t> </w:t>
      </w:r>
      <w:r>
        <w:rPr>
          <w:sz w:val="22"/>
        </w:rPr>
        <w:t>amostral da</w:t>
      </w:r>
      <w:r>
        <w:rPr>
          <w:spacing w:val="-4"/>
          <w:sz w:val="22"/>
        </w:rPr>
        <w:t> </w:t>
      </w:r>
      <w:r>
        <w:rPr>
          <w:sz w:val="22"/>
        </w:rPr>
        <w:t>pesquisa,</w:t>
      </w:r>
      <w:r>
        <w:rPr>
          <w:spacing w:val="-3"/>
          <w:sz w:val="22"/>
        </w:rPr>
        <w:t> </w:t>
      </w:r>
      <w:r>
        <w:rPr>
          <w:sz w:val="22"/>
        </w:rPr>
        <w:t>para</w:t>
      </w:r>
      <w:r>
        <w:rPr>
          <w:spacing w:val="-2"/>
          <w:sz w:val="22"/>
        </w:rPr>
        <w:t> </w:t>
      </w:r>
      <w:r>
        <w:rPr>
          <w:sz w:val="22"/>
        </w:rPr>
        <w:t>estimar</w:t>
      </w:r>
      <w:r>
        <w:rPr>
          <w:spacing w:val="-1"/>
          <w:sz w:val="22"/>
        </w:rPr>
        <w:t> </w:t>
      </w:r>
      <w:r>
        <w:rPr>
          <w:sz w:val="22"/>
        </w:rPr>
        <w:t>as</w:t>
      </w:r>
      <w:r>
        <w:rPr>
          <w:spacing w:val="-3"/>
          <w:sz w:val="22"/>
        </w:rPr>
        <w:t> </w:t>
      </w:r>
      <w:r>
        <w:rPr>
          <w:sz w:val="22"/>
        </w:rPr>
        <w:t>probabilidades</w:t>
      </w:r>
      <w:r>
        <w:rPr>
          <w:spacing w:val="-3"/>
          <w:sz w:val="22"/>
        </w:rPr>
        <w:t> </w:t>
      </w:r>
      <w:r>
        <w:rPr>
          <w:sz w:val="22"/>
        </w:rPr>
        <w:t>de</w:t>
      </w:r>
      <w:r>
        <w:rPr>
          <w:spacing w:val="-4"/>
          <w:sz w:val="22"/>
        </w:rPr>
        <w:t> </w:t>
      </w:r>
      <w:r>
        <w:rPr>
          <w:sz w:val="22"/>
        </w:rPr>
        <w:t>inclusão</w:t>
      </w:r>
      <w:r>
        <w:rPr>
          <w:spacing w:val="-3"/>
          <w:sz w:val="22"/>
        </w:rPr>
        <w:t> </w:t>
      </w:r>
      <w:r>
        <w:rPr>
          <w:sz w:val="22"/>
        </w:rPr>
        <w:t>dos</w:t>
      </w:r>
      <w:r>
        <w:rPr>
          <w:spacing w:val="-2"/>
          <w:sz w:val="22"/>
        </w:rPr>
        <w:t> </w:t>
      </w:r>
      <w:r>
        <w:rPr>
          <w:sz w:val="22"/>
        </w:rPr>
        <w:t>respondentes</w:t>
      </w:r>
      <w:r>
        <w:rPr>
          <w:spacing w:val="-3"/>
          <w:sz w:val="22"/>
        </w:rPr>
        <w:t> </w:t>
      </w:r>
      <w:r>
        <w:rPr>
          <w:sz w:val="22"/>
        </w:rPr>
        <w:t>do</w:t>
      </w:r>
      <w:r>
        <w:rPr>
          <w:spacing w:val="-3"/>
          <w:sz w:val="22"/>
        </w:rPr>
        <w:t> </w:t>
      </w:r>
      <w:r>
        <w:rPr>
          <w:sz w:val="22"/>
        </w:rPr>
        <w:t>Painel</w:t>
      </w:r>
      <w:r>
        <w:rPr>
          <w:spacing w:val="-3"/>
          <w:sz w:val="22"/>
        </w:rPr>
        <w:t> </w:t>
      </w:r>
      <w:r>
        <w:rPr>
          <w:sz w:val="22"/>
        </w:rPr>
        <w:t>TIC COVID-19 na amostra probabilística.</w:t>
      </w:r>
    </w:p>
    <w:p>
      <w:pPr>
        <w:pStyle w:val="BodyText"/>
        <w:spacing w:line="276" w:lineRule="auto" w:before="232"/>
        <w:ind w:left="144" w:right="140"/>
        <w:jc w:val="both"/>
      </w:pPr>
      <w:r>
        <w:rPr/>
        <w:t>No ajuste do modelo, a amostra do Painel TIC COVID-19 foi considerada como um estrato à parte, e cada respondente</w:t>
      </w:r>
      <w:r>
        <w:rPr>
          <w:spacing w:val="-13"/>
        </w:rPr>
        <w:t> </w:t>
      </w:r>
      <w:r>
        <w:rPr/>
        <w:t>dessa</w:t>
      </w:r>
      <w:r>
        <w:rPr>
          <w:spacing w:val="-12"/>
        </w:rPr>
        <w:t> </w:t>
      </w:r>
      <w:r>
        <w:rPr/>
        <w:t>amostra</w:t>
      </w:r>
      <w:r>
        <w:rPr>
          <w:spacing w:val="-13"/>
        </w:rPr>
        <w:t> </w:t>
      </w:r>
      <w:r>
        <w:rPr/>
        <w:t>foi</w:t>
      </w:r>
      <w:r>
        <w:rPr>
          <w:spacing w:val="-12"/>
        </w:rPr>
        <w:t> </w:t>
      </w:r>
      <w:r>
        <w:rPr/>
        <w:t>considerado</w:t>
      </w:r>
      <w:r>
        <w:rPr>
          <w:spacing w:val="-8"/>
        </w:rPr>
        <w:t> </w:t>
      </w:r>
      <w:r>
        <w:rPr/>
        <w:t>como</w:t>
      </w:r>
      <w:r>
        <w:rPr>
          <w:spacing w:val="-12"/>
        </w:rPr>
        <w:t> </w:t>
      </w:r>
      <w:r>
        <w:rPr/>
        <w:t>sendo</w:t>
      </w:r>
      <w:r>
        <w:rPr>
          <w:spacing w:val="-12"/>
        </w:rPr>
        <w:t> </w:t>
      </w:r>
      <w:r>
        <w:rPr/>
        <w:t>uma</w:t>
      </w:r>
      <w:r>
        <w:rPr>
          <w:spacing w:val="-13"/>
        </w:rPr>
        <w:t> </w:t>
      </w:r>
      <w:r>
        <w:rPr/>
        <w:t>unidade</w:t>
      </w:r>
      <w:r>
        <w:rPr>
          <w:spacing w:val="-12"/>
        </w:rPr>
        <w:t> </w:t>
      </w:r>
      <w:r>
        <w:rPr/>
        <w:t>primária</w:t>
      </w:r>
      <w:r>
        <w:rPr>
          <w:spacing w:val="-10"/>
        </w:rPr>
        <w:t> </w:t>
      </w:r>
      <w:r>
        <w:rPr/>
        <w:t>de</w:t>
      </w:r>
      <w:r>
        <w:rPr>
          <w:spacing w:val="-9"/>
        </w:rPr>
        <w:t> </w:t>
      </w:r>
      <w:r>
        <w:rPr/>
        <w:t>amostragem</w:t>
      </w:r>
      <w:r>
        <w:rPr>
          <w:spacing w:val="-12"/>
        </w:rPr>
        <w:t> </w:t>
      </w:r>
      <w:r>
        <w:rPr/>
        <w:t>(UPA)</w:t>
      </w:r>
      <w:r>
        <w:rPr>
          <w:spacing w:val="-10"/>
        </w:rPr>
        <w:t> </w:t>
      </w:r>
      <w:r>
        <w:rPr/>
        <w:t>distinta.</w:t>
      </w:r>
      <w:r>
        <w:rPr>
          <w:spacing w:val="-12"/>
        </w:rPr>
        <w:t> </w:t>
      </w:r>
      <w:r>
        <w:rPr/>
        <w:t>Esse procedimento foi necessário na declaração das variáveis de estrutura do plano amostral para o arquivo de dados empilhados das duas pesquisas.</w:t>
      </w:r>
    </w:p>
    <w:p>
      <w:pPr>
        <w:pStyle w:val="BodyText"/>
        <w:spacing w:line="276" w:lineRule="auto" w:before="242"/>
        <w:ind w:left="144" w:right="142"/>
        <w:jc w:val="both"/>
      </w:pPr>
      <w:r>
        <w:rPr/>
        <w:t>O</w:t>
      </w:r>
      <w:r>
        <w:rPr>
          <w:spacing w:val="-1"/>
        </w:rPr>
        <w:t> </w:t>
      </w:r>
      <w:r>
        <w:rPr/>
        <w:t>modelo mais parcimonioso considerando as variáveis independentes (</w:t>
      </w:r>
      <w:r>
        <w:rPr>
          <w:b/>
        </w:rPr>
        <w:t>X</w:t>
      </w:r>
      <w:r>
        <w:rPr/>
        <w:t>) disponíveis e</w:t>
      </w:r>
      <w:r>
        <w:rPr>
          <w:spacing w:val="-1"/>
        </w:rPr>
        <w:t> </w:t>
      </w:r>
      <w:r>
        <w:rPr/>
        <w:t>comuns às duas bases de dados</w:t>
      </w:r>
      <w:r>
        <w:rPr>
          <w:spacing w:val="-2"/>
        </w:rPr>
        <w:t> </w:t>
      </w:r>
      <w:r>
        <w:rPr/>
        <w:t>contém as</w:t>
      </w:r>
      <w:r>
        <w:rPr>
          <w:spacing w:val="-3"/>
        </w:rPr>
        <w:t> </w:t>
      </w:r>
      <w:r>
        <w:rPr/>
        <w:t>seguintes</w:t>
      </w:r>
      <w:r>
        <w:rPr>
          <w:spacing w:val="-3"/>
        </w:rPr>
        <w:t> </w:t>
      </w:r>
      <w:r>
        <w:rPr/>
        <w:t>variáveis:</w:t>
      </w:r>
      <w:r>
        <w:rPr>
          <w:spacing w:val="-3"/>
        </w:rPr>
        <w:t> </w:t>
      </w:r>
      <w:r>
        <w:rPr/>
        <w:t>idade,</w:t>
      </w:r>
      <w:r>
        <w:rPr>
          <w:spacing w:val="-3"/>
        </w:rPr>
        <w:t> </w:t>
      </w:r>
      <w:r>
        <w:rPr/>
        <w:t>classe</w:t>
      </w:r>
      <w:r>
        <w:rPr>
          <w:spacing w:val="-6"/>
        </w:rPr>
        <w:t> </w:t>
      </w:r>
      <w:r>
        <w:rPr/>
        <w:t>social,</w:t>
      </w:r>
      <w:r>
        <w:rPr>
          <w:spacing w:val="-3"/>
        </w:rPr>
        <w:t> </w:t>
      </w:r>
      <w:r>
        <w:rPr/>
        <w:t>indicador</w:t>
      </w:r>
      <w:r>
        <w:rPr>
          <w:spacing w:val="-4"/>
        </w:rPr>
        <w:t> </w:t>
      </w:r>
      <w:r>
        <w:rPr/>
        <w:t>de</w:t>
      </w:r>
      <w:r>
        <w:rPr>
          <w:spacing w:val="-4"/>
        </w:rPr>
        <w:t> </w:t>
      </w:r>
      <w:r>
        <w:rPr/>
        <w:t>uso</w:t>
      </w:r>
      <w:r>
        <w:rPr>
          <w:spacing w:val="-4"/>
        </w:rPr>
        <w:t> </w:t>
      </w:r>
      <w:r>
        <w:rPr/>
        <w:t>de</w:t>
      </w:r>
      <w:r>
        <w:rPr>
          <w:spacing w:val="-2"/>
        </w:rPr>
        <w:t> </w:t>
      </w:r>
      <w:r>
        <w:rPr/>
        <w:t>computador,</w:t>
      </w:r>
      <w:r>
        <w:rPr>
          <w:spacing w:val="-3"/>
        </w:rPr>
        <w:t> </w:t>
      </w:r>
      <w:r>
        <w:rPr/>
        <w:t>escolaridade</w:t>
      </w:r>
      <w:r>
        <w:rPr>
          <w:spacing w:val="-1"/>
        </w:rPr>
        <w:t> </w:t>
      </w:r>
      <w:r>
        <w:rPr/>
        <w:t>e</w:t>
      </w:r>
      <w:r>
        <w:rPr>
          <w:spacing w:val="-5"/>
        </w:rPr>
        <w:t> </w:t>
      </w:r>
      <w:r>
        <w:rPr/>
        <w:t>número de</w:t>
      </w:r>
      <w:r>
        <w:rPr>
          <w:spacing w:val="19"/>
        </w:rPr>
        <w:t> </w:t>
      </w:r>
      <w:r>
        <w:rPr/>
        <w:t>moradores</w:t>
      </w:r>
      <w:r>
        <w:rPr>
          <w:spacing w:val="22"/>
        </w:rPr>
        <w:t> </w:t>
      </w:r>
      <w:r>
        <w:rPr/>
        <w:t>do</w:t>
      </w:r>
      <w:r>
        <w:rPr>
          <w:spacing w:val="24"/>
        </w:rPr>
        <w:t> </w:t>
      </w:r>
      <w:r>
        <w:rPr/>
        <w:t>domicílio.</w:t>
      </w:r>
      <w:r>
        <w:rPr>
          <w:spacing w:val="21"/>
        </w:rPr>
        <w:t> </w:t>
      </w:r>
      <w:r>
        <w:rPr/>
        <w:t>A</w:t>
      </w:r>
      <w:r>
        <w:rPr>
          <w:spacing w:val="21"/>
        </w:rPr>
        <w:t> </w:t>
      </w:r>
      <w:r>
        <w:rPr/>
        <w:t>partir</w:t>
      </w:r>
      <w:r>
        <w:rPr>
          <w:spacing w:val="23"/>
        </w:rPr>
        <w:t> </w:t>
      </w:r>
      <w:r>
        <w:rPr/>
        <w:t>desse</w:t>
      </w:r>
      <w:r>
        <w:rPr>
          <w:spacing w:val="23"/>
        </w:rPr>
        <w:t> </w:t>
      </w:r>
      <w:r>
        <w:rPr/>
        <w:t>modelo,</w:t>
      </w:r>
      <w:r>
        <w:rPr>
          <w:spacing w:val="21"/>
        </w:rPr>
        <w:t> </w:t>
      </w:r>
      <w:r>
        <w:rPr/>
        <w:t>foram</w:t>
      </w:r>
      <w:r>
        <w:rPr>
          <w:spacing w:val="24"/>
        </w:rPr>
        <w:t> </w:t>
      </w:r>
      <w:r>
        <w:rPr/>
        <w:t>estimadas</w:t>
      </w:r>
      <w:r>
        <w:rPr>
          <w:spacing w:val="25"/>
        </w:rPr>
        <w:t> </w:t>
      </w:r>
      <w:r>
        <w:rPr/>
        <w:t>as</w:t>
      </w:r>
      <w:r>
        <w:rPr>
          <w:spacing w:val="28"/>
        </w:rPr>
        <w:t> </w:t>
      </w:r>
      <w:r>
        <w:rPr/>
        <w:t>pseudo-probabilidades</w:t>
      </w:r>
      <w:r>
        <w:rPr>
          <w:spacing w:val="23"/>
        </w:rPr>
        <w:t> </w:t>
      </w:r>
      <w:r>
        <w:rPr/>
        <w:t>de</w:t>
      </w:r>
      <w:r>
        <w:rPr>
          <w:spacing w:val="19"/>
        </w:rPr>
        <w:t> </w:t>
      </w:r>
      <w:r>
        <w:rPr/>
        <w:t>inclusão</w:t>
      </w:r>
      <w:r>
        <w:rPr>
          <w:spacing w:val="21"/>
        </w:rPr>
        <w:t> </w:t>
      </w:r>
      <w:r>
        <w:rPr/>
        <w:t>dos</w:t>
      </w:r>
    </w:p>
    <w:p>
      <w:pPr>
        <w:pStyle w:val="BodyText"/>
        <w:spacing w:after="0" w:line="276" w:lineRule="auto"/>
        <w:jc w:val="both"/>
        <w:sectPr>
          <w:pgSz w:w="11910" w:h="16840"/>
          <w:pgMar w:header="737" w:footer="1652" w:top="2180" w:bottom="1840" w:left="708" w:right="708"/>
        </w:sectPr>
      </w:pPr>
    </w:p>
    <w:p>
      <w:pPr>
        <w:pStyle w:val="BodyText"/>
      </w:pPr>
    </w:p>
    <w:p>
      <w:pPr>
        <w:pStyle w:val="BodyText"/>
        <w:spacing w:before="243"/>
      </w:pPr>
    </w:p>
    <w:p>
      <w:pPr>
        <w:pStyle w:val="BodyText"/>
        <w:spacing w:line="276" w:lineRule="auto"/>
        <w:ind w:left="144" w:right="133"/>
        <w:jc w:val="both"/>
      </w:pPr>
      <w:r>
        <w:rPr/>
        <w:t>respondentes</w:t>
      </w:r>
      <w:r>
        <w:rPr>
          <w:spacing w:val="-13"/>
        </w:rPr>
        <w:t> </w:t>
      </w:r>
      <w:r>
        <w:rPr/>
        <w:t>do</w:t>
      </w:r>
      <w:r>
        <w:rPr>
          <w:spacing w:val="-12"/>
        </w:rPr>
        <w:t> </w:t>
      </w:r>
      <w:r>
        <w:rPr/>
        <w:t>Painel</w:t>
      </w:r>
      <w:r>
        <w:rPr>
          <w:spacing w:val="-10"/>
        </w:rPr>
        <w:t> </w:t>
      </w:r>
      <w:r>
        <w:rPr/>
        <w:t>TIC</w:t>
      </w:r>
      <w:r>
        <w:rPr>
          <w:spacing w:val="-10"/>
        </w:rPr>
        <w:t> </w:t>
      </w:r>
      <w:r>
        <w:rPr/>
        <w:t>COVID-19</w:t>
      </w:r>
      <w:r>
        <w:rPr>
          <w:spacing w:val="-11"/>
        </w:rPr>
        <w:t> </w:t>
      </w:r>
      <w:r>
        <w:rPr/>
        <w:t>na</w:t>
      </w:r>
      <w:r>
        <w:rPr>
          <w:spacing w:val="-13"/>
        </w:rPr>
        <w:t> </w:t>
      </w:r>
      <w:r>
        <w:rPr/>
        <w:t>pesquisa</w:t>
      </w:r>
      <w:r>
        <w:rPr>
          <w:spacing w:val="-12"/>
        </w:rPr>
        <w:t> </w:t>
      </w:r>
      <w:r>
        <w:rPr/>
        <w:t>TIC</w:t>
      </w:r>
      <w:r>
        <w:rPr>
          <w:spacing w:val="-13"/>
        </w:rPr>
        <w:t> </w:t>
      </w:r>
      <w:r>
        <w:rPr/>
        <w:t>Domicílios</w:t>
      </w:r>
      <w:r>
        <w:rPr>
          <w:spacing w:val="-10"/>
        </w:rPr>
        <w:t> </w:t>
      </w:r>
      <w:r>
        <w:rPr/>
        <w:t>2019.</w:t>
      </w:r>
      <w:r>
        <w:rPr>
          <w:spacing w:val="-12"/>
        </w:rPr>
        <w:t> </w:t>
      </w:r>
      <w:r>
        <w:rPr/>
        <w:t>Os</w:t>
      </w:r>
      <w:r>
        <w:rPr>
          <w:spacing w:val="-11"/>
        </w:rPr>
        <w:t> </w:t>
      </w:r>
      <w:r>
        <w:rPr/>
        <w:t>recíprocos</w:t>
      </w:r>
      <w:r>
        <w:rPr>
          <w:spacing w:val="-11"/>
        </w:rPr>
        <w:t> </w:t>
      </w:r>
      <w:r>
        <w:rPr/>
        <w:t>dessas</w:t>
      </w:r>
      <w:r>
        <w:rPr>
          <w:spacing w:val="-10"/>
        </w:rPr>
        <w:t> </w:t>
      </w:r>
      <w:r>
        <w:rPr/>
        <w:t>pseudo-probabilidades são os pesos iniciais alocados para cada respondente do Painel TIC COVID-19.</w:t>
      </w:r>
    </w:p>
    <w:p>
      <w:pPr>
        <w:pStyle w:val="BodyText"/>
        <w:spacing w:line="276" w:lineRule="auto" w:before="243"/>
        <w:ind w:left="144" w:right="139"/>
        <w:jc w:val="both"/>
      </w:pPr>
      <w:r>
        <w:rPr/>
        <w:t>Esses pesos iniciais foram calibrados para totais marginais estimados das variáveis estrato TIC; sexo; faixa etária; escolaridade; classe</w:t>
      </w:r>
      <w:r>
        <w:rPr>
          <w:spacing w:val="-2"/>
        </w:rPr>
        <w:t> </w:t>
      </w:r>
      <w:r>
        <w:rPr/>
        <w:t>social e</w:t>
      </w:r>
      <w:r>
        <w:rPr>
          <w:spacing w:val="-2"/>
        </w:rPr>
        <w:t> </w:t>
      </w:r>
      <w:r>
        <w:rPr/>
        <w:t>Indicador de uso de</w:t>
      </w:r>
      <w:r>
        <w:rPr>
          <w:spacing w:val="-2"/>
        </w:rPr>
        <w:t> </w:t>
      </w:r>
      <w:r>
        <w:rPr/>
        <w:t>computador. Os pesos assim calibrados foram considerados para a estimação de todos os indicadores de resultados de interesse e das medidas de precisão associadas.</w:t>
      </w:r>
    </w:p>
    <w:p>
      <w:pPr>
        <w:pStyle w:val="BodyText"/>
        <w:spacing w:before="89"/>
      </w:pPr>
    </w:p>
    <w:p>
      <w:pPr>
        <w:pStyle w:val="Heading2"/>
        <w:numPr>
          <w:ilvl w:val="1"/>
          <w:numId w:val="1"/>
        </w:numPr>
        <w:tabs>
          <w:tab w:pos="474" w:val="left" w:leader="none"/>
        </w:tabs>
        <w:spacing w:line="240" w:lineRule="auto" w:before="0" w:after="0"/>
        <w:ind w:left="474" w:right="0" w:hanging="330"/>
        <w:jc w:val="left"/>
      </w:pPr>
      <w:r>
        <w:rPr/>
        <w:t>-</w:t>
      </w:r>
      <w:r>
        <w:rPr>
          <w:spacing w:val="-3"/>
        </w:rPr>
        <w:t> </w:t>
      </w:r>
      <w:r>
        <w:rPr/>
        <w:t>ESTIMAÇÃO</w:t>
      </w:r>
      <w:r>
        <w:rPr>
          <w:spacing w:val="-4"/>
        </w:rPr>
        <w:t> </w:t>
      </w:r>
      <w:r>
        <w:rPr/>
        <w:t>DE</w:t>
      </w:r>
      <w:r>
        <w:rPr>
          <w:spacing w:val="-3"/>
        </w:rPr>
        <w:t> </w:t>
      </w:r>
      <w:r>
        <w:rPr>
          <w:spacing w:val="-2"/>
        </w:rPr>
        <w:t>VARIÂNCIA</w:t>
      </w:r>
    </w:p>
    <w:p>
      <w:pPr>
        <w:pStyle w:val="BodyText"/>
        <w:spacing w:before="15"/>
        <w:rPr>
          <w:b/>
        </w:rPr>
      </w:pPr>
    </w:p>
    <w:p>
      <w:pPr>
        <w:pStyle w:val="BodyText"/>
        <w:spacing w:line="276" w:lineRule="auto"/>
        <w:ind w:left="144" w:right="142"/>
        <w:jc w:val="both"/>
      </w:pPr>
      <w:r>
        <w:rPr/>
        <w:t>O</w:t>
      </w:r>
      <w:r>
        <w:rPr>
          <w:spacing w:val="-1"/>
        </w:rPr>
        <w:t> </w:t>
      </w:r>
      <w:r>
        <w:rPr/>
        <w:t>processo de estimação atribuiu a cada respondente do Painel TIC COVID-19 um peso que</w:t>
      </w:r>
      <w:r>
        <w:rPr>
          <w:spacing w:val="-1"/>
        </w:rPr>
        <w:t> </w:t>
      </w:r>
      <w:r>
        <w:rPr/>
        <w:t>o trata como se</w:t>
      </w:r>
      <w:r>
        <w:rPr>
          <w:spacing w:val="-1"/>
        </w:rPr>
        <w:t> </w:t>
      </w:r>
      <w:r>
        <w:rPr/>
        <w:t>fosse um</w:t>
      </w:r>
      <w:r>
        <w:rPr>
          <w:spacing w:val="-7"/>
        </w:rPr>
        <w:t> </w:t>
      </w:r>
      <w:r>
        <w:rPr/>
        <w:t>participante</w:t>
      </w:r>
      <w:r>
        <w:rPr>
          <w:spacing w:val="-5"/>
        </w:rPr>
        <w:t> </w:t>
      </w:r>
      <w:r>
        <w:rPr/>
        <w:t>de</w:t>
      </w:r>
      <w:r>
        <w:rPr>
          <w:spacing w:val="-4"/>
        </w:rPr>
        <w:t> </w:t>
      </w:r>
      <w:r>
        <w:rPr/>
        <w:t>pesquisa</w:t>
      </w:r>
      <w:r>
        <w:rPr>
          <w:spacing w:val="-9"/>
        </w:rPr>
        <w:t> </w:t>
      </w:r>
      <w:r>
        <w:rPr/>
        <w:t>com</w:t>
      </w:r>
      <w:r>
        <w:rPr>
          <w:spacing w:val="-3"/>
        </w:rPr>
        <w:t> </w:t>
      </w:r>
      <w:r>
        <w:rPr/>
        <w:t>plano</w:t>
      </w:r>
      <w:r>
        <w:rPr>
          <w:spacing w:val="-3"/>
        </w:rPr>
        <w:t> </w:t>
      </w:r>
      <w:r>
        <w:rPr/>
        <w:t>amostral</w:t>
      </w:r>
      <w:r>
        <w:rPr>
          <w:spacing w:val="-6"/>
        </w:rPr>
        <w:t> </w:t>
      </w:r>
      <w:r>
        <w:rPr/>
        <w:t>igual</w:t>
      </w:r>
      <w:r>
        <w:rPr>
          <w:spacing w:val="-2"/>
        </w:rPr>
        <w:t> </w:t>
      </w:r>
      <w:r>
        <w:rPr/>
        <w:t>ao</w:t>
      </w:r>
      <w:r>
        <w:rPr>
          <w:spacing w:val="-4"/>
        </w:rPr>
        <w:t> </w:t>
      </w:r>
      <w:r>
        <w:rPr/>
        <w:t>da</w:t>
      </w:r>
      <w:r>
        <w:rPr>
          <w:spacing w:val="-4"/>
        </w:rPr>
        <w:t> </w:t>
      </w:r>
      <w:r>
        <w:rPr/>
        <w:t>pesquisa</w:t>
      </w:r>
      <w:r>
        <w:rPr>
          <w:spacing w:val="-9"/>
        </w:rPr>
        <w:t> </w:t>
      </w:r>
      <w:r>
        <w:rPr/>
        <w:t>TIC</w:t>
      </w:r>
      <w:r>
        <w:rPr>
          <w:spacing w:val="-4"/>
        </w:rPr>
        <w:t> </w:t>
      </w:r>
      <w:r>
        <w:rPr/>
        <w:t>Domicílios</w:t>
      </w:r>
      <w:r>
        <w:rPr>
          <w:spacing w:val="-5"/>
        </w:rPr>
        <w:t> </w:t>
      </w:r>
      <w:r>
        <w:rPr/>
        <w:t>2019,</w:t>
      </w:r>
      <w:r>
        <w:rPr>
          <w:spacing w:val="-6"/>
        </w:rPr>
        <w:t> </w:t>
      </w:r>
      <w:r>
        <w:rPr/>
        <w:t>mas</w:t>
      </w:r>
      <w:r>
        <w:rPr>
          <w:spacing w:val="-5"/>
        </w:rPr>
        <w:t> </w:t>
      </w:r>
      <w:r>
        <w:rPr/>
        <w:t>com</w:t>
      </w:r>
      <w:r>
        <w:rPr>
          <w:spacing w:val="-3"/>
        </w:rPr>
        <w:t> </w:t>
      </w:r>
      <w:r>
        <w:rPr/>
        <w:t>tamanho</w:t>
      </w:r>
      <w:r>
        <w:rPr>
          <w:spacing w:val="-3"/>
        </w:rPr>
        <w:t> </w:t>
      </w:r>
      <w:r>
        <w:rPr/>
        <w:t>total da</w:t>
      </w:r>
      <w:r>
        <w:rPr>
          <w:spacing w:val="-12"/>
        </w:rPr>
        <w:t> </w:t>
      </w:r>
      <w:r>
        <w:rPr/>
        <w:t>amostra</w:t>
      </w:r>
      <w:r>
        <w:rPr>
          <w:spacing w:val="-13"/>
        </w:rPr>
        <w:t> </w:t>
      </w:r>
      <w:r>
        <w:rPr/>
        <w:t>menor.</w:t>
      </w:r>
      <w:r>
        <w:rPr>
          <w:spacing w:val="-7"/>
        </w:rPr>
        <w:t> </w:t>
      </w:r>
      <w:r>
        <w:rPr/>
        <w:t>Dessa</w:t>
      </w:r>
      <w:r>
        <w:rPr>
          <w:spacing w:val="-13"/>
        </w:rPr>
        <w:t> </w:t>
      </w:r>
      <w:r>
        <w:rPr/>
        <w:t>forma,</w:t>
      </w:r>
      <w:r>
        <w:rPr>
          <w:spacing w:val="-6"/>
        </w:rPr>
        <w:t> </w:t>
      </w:r>
      <w:r>
        <w:rPr/>
        <w:t>é</w:t>
      </w:r>
      <w:r>
        <w:rPr>
          <w:spacing w:val="-9"/>
        </w:rPr>
        <w:t> </w:t>
      </w:r>
      <w:r>
        <w:rPr/>
        <w:t>possível</w:t>
      </w:r>
      <w:r>
        <w:rPr>
          <w:spacing w:val="-10"/>
        </w:rPr>
        <w:t> </w:t>
      </w:r>
      <w:r>
        <w:rPr/>
        <w:t>estimar</w:t>
      </w:r>
      <w:r>
        <w:rPr>
          <w:spacing w:val="-12"/>
        </w:rPr>
        <w:t> </w:t>
      </w:r>
      <w:r>
        <w:rPr/>
        <w:t>variâncias</w:t>
      </w:r>
      <w:r>
        <w:rPr>
          <w:spacing w:val="-9"/>
        </w:rPr>
        <w:t> </w:t>
      </w:r>
      <w:r>
        <w:rPr/>
        <w:t>e</w:t>
      </w:r>
      <w:r>
        <w:rPr>
          <w:spacing w:val="-9"/>
        </w:rPr>
        <w:t> </w:t>
      </w:r>
      <w:r>
        <w:rPr/>
        <w:t>margens</w:t>
      </w:r>
      <w:r>
        <w:rPr>
          <w:spacing w:val="-9"/>
        </w:rPr>
        <w:t> </w:t>
      </w:r>
      <w:r>
        <w:rPr/>
        <w:t>de</w:t>
      </w:r>
      <w:r>
        <w:rPr>
          <w:spacing w:val="-8"/>
        </w:rPr>
        <w:t> </w:t>
      </w:r>
      <w:r>
        <w:rPr/>
        <w:t>erro.</w:t>
      </w:r>
      <w:r>
        <w:rPr>
          <w:spacing w:val="-7"/>
        </w:rPr>
        <w:t> </w:t>
      </w:r>
      <w:r>
        <w:rPr/>
        <w:t>Segundo</w:t>
      </w:r>
      <w:r>
        <w:rPr>
          <w:spacing w:val="-2"/>
        </w:rPr>
        <w:t> </w:t>
      </w:r>
      <w:r>
        <w:rPr/>
        <w:t>Valliant</w:t>
      </w:r>
      <w:r>
        <w:rPr>
          <w:spacing w:val="-12"/>
        </w:rPr>
        <w:t> </w:t>
      </w:r>
      <w:r>
        <w:rPr/>
        <w:t>(2019),</w:t>
      </w:r>
      <w:r>
        <w:rPr>
          <w:spacing w:val="-10"/>
        </w:rPr>
        <w:t> </w:t>
      </w:r>
      <w:r>
        <w:rPr/>
        <w:t>são</w:t>
      </w:r>
      <w:r>
        <w:rPr>
          <w:spacing w:val="-11"/>
        </w:rPr>
        <w:t> </w:t>
      </w:r>
      <w:r>
        <w:rPr/>
        <w:t>duas as possibilidades para a estimação de variância: estimação considerando a amostra como aleatória simples com reposição ou estimação com base em método de replicação.</w:t>
      </w:r>
    </w:p>
    <w:p>
      <w:pPr>
        <w:pStyle w:val="BodyText"/>
        <w:spacing w:line="276" w:lineRule="auto" w:before="240"/>
        <w:ind w:left="144" w:right="142"/>
        <w:jc w:val="both"/>
      </w:pPr>
      <w:r>
        <w:rPr/>
        <w:t>O</w:t>
      </w:r>
      <w:r>
        <w:rPr>
          <w:spacing w:val="-6"/>
        </w:rPr>
        <w:t> </w:t>
      </w:r>
      <w:r>
        <w:rPr/>
        <w:t>segundo</w:t>
      </w:r>
      <w:r>
        <w:rPr>
          <w:spacing w:val="-4"/>
        </w:rPr>
        <w:t> </w:t>
      </w:r>
      <w:r>
        <w:rPr/>
        <w:t>método</w:t>
      </w:r>
      <w:r>
        <w:rPr>
          <w:spacing w:val="-4"/>
        </w:rPr>
        <w:t> </w:t>
      </w:r>
      <w:r>
        <w:rPr/>
        <w:t>(estimação</w:t>
      </w:r>
      <w:r>
        <w:rPr>
          <w:spacing w:val="-4"/>
        </w:rPr>
        <w:t> </w:t>
      </w:r>
      <w:r>
        <w:rPr/>
        <w:t>com base</w:t>
      </w:r>
      <w:r>
        <w:rPr>
          <w:spacing w:val="-6"/>
        </w:rPr>
        <w:t> </w:t>
      </w:r>
      <w:r>
        <w:rPr/>
        <w:t>em método</w:t>
      </w:r>
      <w:r>
        <w:rPr>
          <w:spacing w:val="-4"/>
        </w:rPr>
        <w:t> </w:t>
      </w:r>
      <w:r>
        <w:rPr/>
        <w:t>de</w:t>
      </w:r>
      <w:r>
        <w:rPr>
          <w:spacing w:val="-2"/>
        </w:rPr>
        <w:t> </w:t>
      </w:r>
      <w:r>
        <w:rPr/>
        <w:t>replicação) tem a</w:t>
      </w:r>
      <w:r>
        <w:rPr>
          <w:spacing w:val="-6"/>
        </w:rPr>
        <w:t> </w:t>
      </w:r>
      <w:r>
        <w:rPr/>
        <w:t>vantagem</w:t>
      </w:r>
      <w:r>
        <w:rPr>
          <w:spacing w:val="-4"/>
        </w:rPr>
        <w:t> </w:t>
      </w:r>
      <w:r>
        <w:rPr/>
        <w:t>de</w:t>
      </w:r>
      <w:r>
        <w:rPr>
          <w:spacing w:val="-6"/>
        </w:rPr>
        <w:t> </w:t>
      </w:r>
      <w:r>
        <w:rPr/>
        <w:t>considerar</w:t>
      </w:r>
      <w:r>
        <w:rPr>
          <w:spacing w:val="-5"/>
        </w:rPr>
        <w:t> </w:t>
      </w:r>
      <w:r>
        <w:rPr/>
        <w:t>a</w:t>
      </w:r>
      <w:r>
        <w:rPr>
          <w:spacing w:val="-6"/>
        </w:rPr>
        <w:t> </w:t>
      </w:r>
      <w:r>
        <w:rPr/>
        <w:t>estimação</w:t>
      </w:r>
      <w:r>
        <w:rPr>
          <w:spacing w:val="-4"/>
        </w:rPr>
        <w:t> </w:t>
      </w:r>
      <w:r>
        <w:rPr/>
        <w:t>do modelo para estimação das pseudo-probabilidades de inclusão para subamostras retiradas da amostra principal. Isso permite</w:t>
      </w:r>
      <w:r>
        <w:rPr>
          <w:spacing w:val="-1"/>
        </w:rPr>
        <w:t> </w:t>
      </w:r>
      <w:r>
        <w:rPr/>
        <w:t>incluir na estimação da variância</w:t>
      </w:r>
      <w:r>
        <w:rPr>
          <w:spacing w:val="-1"/>
        </w:rPr>
        <w:t> </w:t>
      </w:r>
      <w:r>
        <w:rPr/>
        <w:t>a variabilidade</w:t>
      </w:r>
      <w:r>
        <w:rPr>
          <w:spacing w:val="-1"/>
        </w:rPr>
        <w:t> </w:t>
      </w:r>
      <w:r>
        <w:rPr/>
        <w:t>associada à estimação desse modelo. Por esta razão esse foi o método utilizado para estimação de variâncias. O procedimento seguiu os seguintes passos:</w:t>
      </w:r>
    </w:p>
    <w:p>
      <w:pPr>
        <w:pStyle w:val="ListParagraph"/>
        <w:numPr>
          <w:ilvl w:val="0"/>
          <w:numId w:val="5"/>
        </w:numPr>
        <w:tabs>
          <w:tab w:pos="864" w:val="left" w:leader="none"/>
        </w:tabs>
        <w:spacing w:line="259" w:lineRule="auto" w:before="237" w:after="0"/>
        <w:ind w:left="864" w:right="131" w:hanging="472"/>
        <w:jc w:val="both"/>
        <w:rPr>
          <w:sz w:val="22"/>
        </w:rPr>
      </w:pPr>
      <w:r>
        <w:rPr>
          <w:sz w:val="22"/>
        </w:rPr>
        <w:t>A partir da base comum (empilhada) utilizada para a estimação do modelo de pseudo-probabilidades, foram selecionadas 200 amostras </w:t>
      </w:r>
      <w:r>
        <w:rPr>
          <w:i/>
          <w:sz w:val="22"/>
        </w:rPr>
        <w:t>bootstrap </w:t>
      </w:r>
      <w:r>
        <w:rPr>
          <w:sz w:val="22"/>
        </w:rPr>
        <w:t>com uso da função </w:t>
      </w:r>
      <w:r>
        <w:rPr>
          <w:i/>
          <w:sz w:val="22"/>
        </w:rPr>
        <w:t>as.svrepdesign </w:t>
      </w:r>
      <w:r>
        <w:rPr>
          <w:sz w:val="22"/>
        </w:rPr>
        <w:t>do pacote </w:t>
      </w:r>
      <w:r>
        <w:rPr>
          <w:i/>
          <w:sz w:val="22"/>
        </w:rPr>
        <w:t>survey </w:t>
      </w:r>
      <w:r>
        <w:rPr>
          <w:sz w:val="22"/>
        </w:rPr>
        <w:t>do programa R, considerando o plano amostral;</w:t>
      </w:r>
    </w:p>
    <w:p>
      <w:pPr>
        <w:pStyle w:val="ListParagraph"/>
        <w:numPr>
          <w:ilvl w:val="0"/>
          <w:numId w:val="5"/>
        </w:numPr>
        <w:tabs>
          <w:tab w:pos="862" w:val="left" w:leader="none"/>
          <w:tab w:pos="864" w:val="left" w:leader="none"/>
        </w:tabs>
        <w:spacing w:line="256" w:lineRule="auto" w:before="2" w:after="0"/>
        <w:ind w:left="864" w:right="137" w:hanging="528"/>
        <w:jc w:val="both"/>
        <w:rPr>
          <w:sz w:val="22"/>
        </w:rPr>
      </w:pPr>
      <w:r>
        <w:rPr>
          <w:sz w:val="22"/>
        </w:rPr>
        <w:t>Para cada uma destas 200 réplicas, foi ajustado o modelo para estimação de pseudo-probabilidades de inclusão, e correspondentes pseudo-pesos; e</w:t>
      </w:r>
    </w:p>
    <w:p>
      <w:pPr>
        <w:pStyle w:val="ListParagraph"/>
        <w:numPr>
          <w:ilvl w:val="0"/>
          <w:numId w:val="5"/>
        </w:numPr>
        <w:tabs>
          <w:tab w:pos="861" w:val="left" w:leader="none"/>
        </w:tabs>
        <w:spacing w:line="240" w:lineRule="auto" w:before="6" w:after="0"/>
        <w:ind w:left="861" w:right="0" w:hanging="577"/>
        <w:jc w:val="both"/>
        <w:rPr>
          <w:sz w:val="22"/>
        </w:rPr>
      </w:pPr>
      <w:r>
        <w:rPr>
          <w:sz w:val="22"/>
        </w:rPr>
        <w:t>Os</w:t>
      </w:r>
      <w:r>
        <w:rPr>
          <w:spacing w:val="-5"/>
          <w:sz w:val="22"/>
        </w:rPr>
        <w:t> </w:t>
      </w:r>
      <w:r>
        <w:rPr>
          <w:sz w:val="22"/>
        </w:rPr>
        <w:t>pseudo-pesos</w:t>
      </w:r>
      <w:r>
        <w:rPr>
          <w:spacing w:val="-3"/>
          <w:sz w:val="22"/>
        </w:rPr>
        <w:t> </w:t>
      </w:r>
      <w:r>
        <w:rPr>
          <w:sz w:val="22"/>
        </w:rPr>
        <w:t>de</w:t>
      </w:r>
      <w:r>
        <w:rPr>
          <w:spacing w:val="-5"/>
          <w:sz w:val="22"/>
        </w:rPr>
        <w:t> </w:t>
      </w:r>
      <w:r>
        <w:rPr>
          <w:sz w:val="22"/>
        </w:rPr>
        <w:t>cada</w:t>
      </w:r>
      <w:r>
        <w:rPr>
          <w:spacing w:val="-2"/>
          <w:sz w:val="22"/>
        </w:rPr>
        <w:t> </w:t>
      </w:r>
      <w:r>
        <w:rPr>
          <w:sz w:val="22"/>
        </w:rPr>
        <w:t>réplica</w:t>
      </w:r>
      <w:r>
        <w:rPr>
          <w:spacing w:val="-7"/>
          <w:sz w:val="22"/>
        </w:rPr>
        <w:t> </w:t>
      </w:r>
      <w:r>
        <w:rPr>
          <w:sz w:val="22"/>
        </w:rPr>
        <w:t>foram</w:t>
      </w:r>
      <w:r>
        <w:rPr>
          <w:spacing w:val="-1"/>
          <w:sz w:val="22"/>
        </w:rPr>
        <w:t> </w:t>
      </w:r>
      <w:r>
        <w:rPr>
          <w:sz w:val="22"/>
        </w:rPr>
        <w:t>calibrados</w:t>
      </w:r>
      <w:r>
        <w:rPr>
          <w:spacing w:val="-2"/>
          <w:sz w:val="22"/>
        </w:rPr>
        <w:t> </w:t>
      </w:r>
      <w:r>
        <w:rPr>
          <w:sz w:val="22"/>
        </w:rPr>
        <w:t>e</w:t>
      </w:r>
      <w:r>
        <w:rPr>
          <w:spacing w:val="-7"/>
          <w:sz w:val="22"/>
        </w:rPr>
        <w:t> </w:t>
      </w:r>
      <w:r>
        <w:rPr>
          <w:sz w:val="22"/>
        </w:rPr>
        <w:t>guardados</w:t>
      </w:r>
      <w:r>
        <w:rPr>
          <w:spacing w:val="-2"/>
          <w:sz w:val="22"/>
        </w:rPr>
        <w:t> </w:t>
      </w:r>
      <w:r>
        <w:rPr>
          <w:sz w:val="22"/>
        </w:rPr>
        <w:t>para</w:t>
      </w:r>
      <w:r>
        <w:rPr>
          <w:spacing w:val="-3"/>
          <w:sz w:val="22"/>
        </w:rPr>
        <w:t> </w:t>
      </w:r>
      <w:r>
        <w:rPr>
          <w:sz w:val="22"/>
        </w:rPr>
        <w:t>estimação</w:t>
      </w:r>
      <w:r>
        <w:rPr>
          <w:spacing w:val="-2"/>
          <w:sz w:val="22"/>
        </w:rPr>
        <w:t> </w:t>
      </w:r>
      <w:r>
        <w:rPr>
          <w:sz w:val="22"/>
        </w:rPr>
        <w:t>da</w:t>
      </w:r>
      <w:r>
        <w:rPr>
          <w:spacing w:val="-5"/>
          <w:sz w:val="22"/>
        </w:rPr>
        <w:t> </w:t>
      </w:r>
      <w:r>
        <w:rPr>
          <w:spacing w:val="-2"/>
          <w:sz w:val="22"/>
        </w:rPr>
        <w:t>variância.</w:t>
      </w:r>
    </w:p>
    <w:p>
      <w:pPr>
        <w:pStyle w:val="BodyText"/>
        <w:spacing w:before="259"/>
        <w:ind w:left="144"/>
        <w:jc w:val="both"/>
      </w:pPr>
      <w:r>
        <w:rPr/>
        <w:t>A</w:t>
      </w:r>
      <w:r>
        <w:rPr>
          <w:spacing w:val="-7"/>
        </w:rPr>
        <w:t> </w:t>
      </w:r>
      <w:r>
        <w:rPr/>
        <w:t>variância</w:t>
      </w:r>
      <w:r>
        <w:rPr>
          <w:spacing w:val="-6"/>
        </w:rPr>
        <w:t> </w:t>
      </w:r>
      <w:r>
        <w:rPr/>
        <w:t>de</w:t>
      </w:r>
      <w:r>
        <w:rPr>
          <w:spacing w:val="-2"/>
        </w:rPr>
        <w:t> </w:t>
      </w:r>
      <w:r>
        <w:rPr/>
        <w:t>estimativas</w:t>
      </w:r>
      <w:r>
        <w:rPr>
          <w:spacing w:val="-3"/>
        </w:rPr>
        <w:t> </w:t>
      </w:r>
      <w:r>
        <w:rPr/>
        <w:t>de</w:t>
      </w:r>
      <w:r>
        <w:rPr>
          <w:spacing w:val="-2"/>
        </w:rPr>
        <w:t> </w:t>
      </w:r>
      <w:r>
        <w:rPr/>
        <w:t>indicadores</w:t>
      </w:r>
      <w:r>
        <w:rPr>
          <w:spacing w:val="-4"/>
        </w:rPr>
        <w:t> </w:t>
      </w:r>
      <w:r>
        <w:rPr/>
        <w:t>de</w:t>
      </w:r>
      <w:r>
        <w:rPr>
          <w:spacing w:val="-2"/>
        </w:rPr>
        <w:t> </w:t>
      </w:r>
      <w:r>
        <w:rPr/>
        <w:t>interesse</w:t>
      </w:r>
      <w:r>
        <w:rPr>
          <w:spacing w:val="-6"/>
        </w:rPr>
        <w:t> </w:t>
      </w:r>
      <w:r>
        <w:rPr/>
        <w:t>foi</w:t>
      </w:r>
      <w:r>
        <w:rPr>
          <w:spacing w:val="-3"/>
        </w:rPr>
        <w:t> </w:t>
      </w:r>
      <w:r>
        <w:rPr/>
        <w:t>estimada</w:t>
      </w:r>
      <w:r>
        <w:rPr>
          <w:spacing w:val="-1"/>
        </w:rPr>
        <w:t> </w:t>
      </w:r>
      <w:r>
        <w:rPr>
          <w:spacing w:val="-2"/>
        </w:rPr>
        <w:t>usando:</w:t>
      </w:r>
    </w:p>
    <w:p>
      <w:pPr>
        <w:pStyle w:val="BodyText"/>
        <w:spacing w:before="20"/>
        <w:rPr>
          <w:sz w:val="20"/>
        </w:rPr>
      </w:pPr>
    </w:p>
    <w:p>
      <w:pPr>
        <w:pStyle w:val="BodyText"/>
        <w:spacing w:after="0"/>
        <w:rPr>
          <w:sz w:val="20"/>
        </w:rPr>
        <w:sectPr>
          <w:pgSz w:w="11910" w:h="16840"/>
          <w:pgMar w:header="737" w:footer="1652" w:top="2180" w:bottom="1840" w:left="708" w:right="708"/>
        </w:sectPr>
      </w:pPr>
    </w:p>
    <w:p>
      <w:pPr>
        <w:spacing w:line="143" w:lineRule="exact" w:before="73"/>
        <w:ind w:left="0" w:right="311" w:firstLine="0"/>
        <w:jc w:val="right"/>
        <w:rPr>
          <w:rFonts w:ascii="Cambria Math" w:eastAsia="Cambria Math"/>
          <w:sz w:val="16"/>
        </w:rPr>
      </w:pPr>
      <w:r>
        <w:rPr>
          <w:rFonts w:ascii="Cambria Math" w:eastAsia="Cambria Math"/>
          <w:spacing w:val="-10"/>
          <w:w w:val="105"/>
          <w:sz w:val="16"/>
        </w:rPr>
        <w:t>𝑅</w:t>
      </w:r>
    </w:p>
    <w:p>
      <w:pPr>
        <w:pStyle w:val="BodyText"/>
        <w:spacing w:line="164" w:lineRule="exact"/>
        <w:ind w:left="4725"/>
        <w:rPr>
          <w:rFonts w:ascii="Cambria Math" w:hAnsi="Cambria Math" w:eastAsia="Cambria Math"/>
        </w:rPr>
      </w:pPr>
      <w:r>
        <w:rPr>
          <w:rFonts w:ascii="Cambria Math" w:hAnsi="Cambria Math" w:eastAsia="Cambria Math"/>
        </w:rPr>
        <w:t>𝑅</w:t>
      </w:r>
      <w:r>
        <w:rPr>
          <w:rFonts w:ascii="Cambria Math" w:hAnsi="Cambria Math" w:eastAsia="Cambria Math"/>
          <w:spacing w:val="7"/>
        </w:rPr>
        <w:t> </w:t>
      </w:r>
      <w:r>
        <w:rPr>
          <w:rFonts w:ascii="Cambria Math" w:hAnsi="Cambria Math" w:eastAsia="Cambria Math"/>
        </w:rPr>
        <w:t>−</w:t>
      </w:r>
      <w:r>
        <w:rPr>
          <w:rFonts w:ascii="Cambria Math" w:hAnsi="Cambria Math" w:eastAsia="Cambria Math"/>
          <w:spacing w:val="-1"/>
        </w:rPr>
        <w:t> </w:t>
      </w:r>
      <w:r>
        <w:rPr>
          <w:rFonts w:ascii="Cambria Math" w:hAnsi="Cambria Math" w:eastAsia="Cambria Math"/>
          <w:spacing w:val="-10"/>
        </w:rPr>
        <w:t>1</w:t>
      </w:r>
    </w:p>
    <w:p>
      <w:pPr>
        <w:tabs>
          <w:tab w:pos="5297" w:val="left" w:leader="none"/>
        </w:tabs>
        <w:spacing w:line="88" w:lineRule="exact" w:before="0"/>
        <w:ind w:left="3985" w:right="0" w:firstLine="0"/>
        <w:jc w:val="left"/>
        <w:rPr>
          <w:rFonts w:ascii="Cambria Math" w:hAnsi="Cambria Math" w:eastAsia="Cambria Math"/>
          <w:sz w:val="22"/>
        </w:rPr>
      </w:pPr>
      <w:r>
        <w:rPr>
          <w:rFonts w:ascii="Cambria Math" w:hAnsi="Cambria Math" w:eastAsia="Cambria Math"/>
          <w:sz w:val="22"/>
        </w:rPr>
        <w:t>𝑉̂</w:t>
      </w:r>
      <w:r>
        <w:rPr>
          <w:rFonts w:ascii="Cambria Math" w:hAnsi="Cambria Math" w:eastAsia="Cambria Math"/>
          <w:position w:val="1"/>
          <w:sz w:val="22"/>
        </w:rPr>
        <w:t>(</w:t>
      </w:r>
      <w:r>
        <w:rPr>
          <w:rFonts w:ascii="Cambria Math" w:hAnsi="Cambria Math" w:eastAsia="Cambria Math"/>
          <w:sz w:val="22"/>
        </w:rPr>
        <w:t>𝑦̂</w:t>
      </w:r>
      <w:r>
        <w:rPr>
          <w:rFonts w:ascii="Cambria Math" w:hAnsi="Cambria Math" w:eastAsia="Cambria Math"/>
          <w:position w:val="1"/>
          <w:sz w:val="22"/>
        </w:rPr>
        <w:t>)</w:t>
      </w:r>
      <w:r>
        <w:rPr>
          <w:rFonts w:ascii="Cambria Math" w:hAnsi="Cambria Math" w:eastAsia="Cambria Math"/>
          <w:spacing w:val="34"/>
          <w:position w:val="1"/>
          <w:sz w:val="22"/>
        </w:rPr>
        <w:t> </w:t>
      </w:r>
      <w:r>
        <w:rPr>
          <w:rFonts w:ascii="Cambria Math" w:hAnsi="Cambria Math" w:eastAsia="Cambria Math"/>
          <w:spacing w:val="-10"/>
          <w:sz w:val="22"/>
        </w:rPr>
        <w:t>=</w:t>
      </w:r>
      <w:r>
        <w:rPr>
          <w:rFonts w:ascii="Cambria Math" w:hAnsi="Cambria Math" w:eastAsia="Cambria Math"/>
          <w:sz w:val="22"/>
        </w:rPr>
        <w:tab/>
      </w:r>
      <w:r>
        <w:rPr>
          <w:rFonts w:ascii="Cambria Math" w:hAnsi="Cambria Math" w:eastAsia="Cambria Math"/>
          <w:spacing w:val="-4"/>
          <w:sz w:val="22"/>
        </w:rPr>
        <w:t>∑</w:t>
      </w:r>
      <w:r>
        <w:rPr>
          <w:rFonts w:ascii="Cambria Math" w:hAnsi="Cambria Math" w:eastAsia="Cambria Math"/>
          <w:spacing w:val="-4"/>
          <w:position w:val="1"/>
          <w:sz w:val="22"/>
        </w:rPr>
        <w:t>(</w:t>
      </w:r>
      <w:r>
        <w:rPr>
          <w:rFonts w:ascii="Cambria Math" w:hAnsi="Cambria Math" w:eastAsia="Cambria Math"/>
          <w:spacing w:val="-4"/>
          <w:sz w:val="22"/>
        </w:rPr>
        <w:t>𝑦̂</w:t>
      </w:r>
    </w:p>
    <w:p>
      <w:pPr>
        <w:spacing w:line="240" w:lineRule="auto" w:before="72"/>
        <w:rPr>
          <w:rFonts w:ascii="Cambria Math"/>
          <w:sz w:val="22"/>
        </w:rPr>
      </w:pPr>
      <w:r>
        <w:rPr/>
        <w:br w:type="column"/>
      </w:r>
      <w:r>
        <w:rPr>
          <w:rFonts w:ascii="Cambria Math"/>
          <w:sz w:val="22"/>
        </w:rPr>
      </w:r>
    </w:p>
    <w:p>
      <w:pPr>
        <w:pStyle w:val="BodyText"/>
        <w:spacing w:line="138" w:lineRule="exact"/>
        <w:ind w:left="88"/>
        <w:rPr>
          <w:rFonts w:ascii="Cambria Math" w:hAnsi="Cambria Math" w:eastAsia="Cambria Math"/>
        </w:rPr>
      </w:pPr>
      <w:r>
        <w:rPr>
          <w:rFonts w:ascii="Cambria Math" w:hAnsi="Cambria Math" w:eastAsia="Cambria Math"/>
        </w:rPr>
        <w:t>−</w:t>
      </w:r>
      <w:r>
        <w:rPr>
          <w:rFonts w:ascii="Cambria Math" w:hAnsi="Cambria Math" w:eastAsia="Cambria Math"/>
          <w:spacing w:val="-1"/>
        </w:rPr>
        <w:t> </w:t>
      </w:r>
      <w:r>
        <w:rPr>
          <w:rFonts w:ascii="Cambria Math" w:hAnsi="Cambria Math" w:eastAsia="Cambria Math"/>
          <w:spacing w:val="-4"/>
        </w:rPr>
        <w:t>𝑦̂</w:t>
      </w:r>
      <w:r>
        <w:rPr>
          <w:rFonts w:ascii="Cambria Math" w:hAnsi="Cambria Math" w:eastAsia="Cambria Math"/>
          <w:spacing w:val="-4"/>
          <w:position w:val="1"/>
        </w:rPr>
        <w:t>)</w:t>
      </w:r>
      <w:r>
        <w:rPr>
          <w:rFonts w:ascii="Cambria Math" w:hAnsi="Cambria Math" w:eastAsia="Cambria Math"/>
          <w:spacing w:val="-4"/>
          <w:position w:val="1"/>
          <w:vertAlign w:val="superscript"/>
        </w:rPr>
        <w:t>2</w:t>
      </w:r>
      <w:r>
        <w:rPr>
          <w:rFonts w:ascii="Cambria Math" w:hAnsi="Cambria Math" w:eastAsia="Cambria Math"/>
          <w:spacing w:val="-4"/>
          <w:vertAlign w:val="baseline"/>
        </w:rPr>
        <w:t>,</w:t>
      </w:r>
    </w:p>
    <w:p>
      <w:pPr>
        <w:pStyle w:val="BodyText"/>
        <w:spacing w:after="0" w:line="138" w:lineRule="exact"/>
        <w:rPr>
          <w:rFonts w:ascii="Cambria Math" w:hAnsi="Cambria Math" w:eastAsia="Cambria Math"/>
        </w:rPr>
        <w:sectPr>
          <w:type w:val="continuous"/>
          <w:pgSz w:w="11910" w:h="16840"/>
          <w:pgMar w:header="737" w:footer="1652" w:top="2180" w:bottom="1840" w:left="708" w:right="708"/>
          <w:cols w:num="2" w:equalWidth="0">
            <w:col w:w="5806" w:space="40"/>
            <w:col w:w="4648"/>
          </w:cols>
        </w:sectPr>
      </w:pPr>
    </w:p>
    <w:p>
      <w:pPr>
        <w:pStyle w:val="BodyText"/>
        <w:spacing w:line="20" w:lineRule="exact"/>
        <w:ind w:left="4725"/>
        <w:rPr>
          <w:rFonts w:ascii="Cambria Math"/>
          <w:sz w:val="2"/>
        </w:rPr>
      </w:pPr>
      <w:r>
        <w:rPr>
          <w:rFonts w:ascii="Cambria Math"/>
          <w:sz w:val="2"/>
        </w:rPr>
        <mc:AlternateContent>
          <mc:Choice Requires="wps">
            <w:drawing>
              <wp:inline distT="0" distB="0" distL="0" distR="0">
                <wp:extent cx="338455" cy="10160"/>
                <wp:effectExtent l="0" t="0" r="0" b="0"/>
                <wp:docPr id="32" name="Group 32"/>
                <wp:cNvGraphicFramePr>
                  <a:graphicFrameLocks/>
                </wp:cNvGraphicFramePr>
                <a:graphic>
                  <a:graphicData uri="http://schemas.microsoft.com/office/word/2010/wordprocessingGroup">
                    <wpg:wgp>
                      <wpg:cNvPr id="32" name="Group 32"/>
                      <wpg:cNvGrpSpPr/>
                      <wpg:grpSpPr>
                        <a:xfrm>
                          <a:off x="0" y="0"/>
                          <a:ext cx="338455" cy="10160"/>
                          <a:chExt cx="338455" cy="10160"/>
                        </a:xfrm>
                      </wpg:grpSpPr>
                      <wps:wsp>
                        <wps:cNvPr id="33" name="Graphic 33"/>
                        <wps:cNvSpPr/>
                        <wps:spPr>
                          <a:xfrm>
                            <a:off x="0" y="0"/>
                            <a:ext cx="338455" cy="10160"/>
                          </a:xfrm>
                          <a:custGeom>
                            <a:avLst/>
                            <a:gdLst/>
                            <a:ahLst/>
                            <a:cxnLst/>
                            <a:rect l="l" t="t" r="r" b="b"/>
                            <a:pathLst>
                              <a:path w="338455" h="10160">
                                <a:moveTo>
                                  <a:pt x="338137" y="0"/>
                                </a:moveTo>
                                <a:lnTo>
                                  <a:pt x="0" y="0"/>
                                </a:lnTo>
                                <a:lnTo>
                                  <a:pt x="0" y="10160"/>
                                </a:lnTo>
                                <a:lnTo>
                                  <a:pt x="338137" y="10160"/>
                                </a:lnTo>
                                <a:lnTo>
                                  <a:pt x="3381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6.65pt;height:.8pt;mso-position-horizontal-relative:char;mso-position-vertical-relative:line" id="docshapegroup26" coordorigin="0,0" coordsize="533,16">
                <v:rect style="position:absolute;left:0;top:0;width:533;height:16" id="docshape27" filled="true" fillcolor="#000000" stroked="false">
                  <v:fill type="solid"/>
                </v:rect>
              </v:group>
            </w:pict>
          </mc:Fallback>
        </mc:AlternateContent>
      </w:r>
      <w:r>
        <w:rPr>
          <w:rFonts w:ascii="Cambria Math"/>
          <w:sz w:val="2"/>
        </w:rPr>
      </w:r>
    </w:p>
    <w:p>
      <w:pPr>
        <w:tabs>
          <w:tab w:pos="1164" w:val="left" w:leader="none"/>
        </w:tabs>
        <w:spacing w:line="141" w:lineRule="auto" w:before="0"/>
        <w:ind w:left="296" w:right="0" w:firstLine="0"/>
        <w:jc w:val="center"/>
        <w:rPr>
          <w:rFonts w:ascii="Cambria Math" w:eastAsia="Cambria Math"/>
          <w:sz w:val="16"/>
        </w:rPr>
      </w:pPr>
      <w:r>
        <w:rPr>
          <w:rFonts w:ascii="Cambria Math" w:eastAsia="Cambria Math"/>
          <w:spacing w:val="-10"/>
          <w:w w:val="105"/>
          <w:position w:val="-9"/>
          <w:sz w:val="22"/>
        </w:rPr>
        <w:t>𝑅</w:t>
      </w:r>
      <w:r>
        <w:rPr>
          <w:rFonts w:ascii="Cambria Math" w:eastAsia="Cambria Math"/>
          <w:position w:val="-9"/>
          <w:sz w:val="22"/>
        </w:rPr>
        <w:tab/>
      </w:r>
      <w:r>
        <w:rPr>
          <w:rFonts w:ascii="Cambria Math" w:eastAsia="Cambria Math"/>
          <w:spacing w:val="-10"/>
          <w:w w:val="105"/>
          <w:sz w:val="16"/>
        </w:rPr>
        <w:t>𝑟</w:t>
      </w:r>
    </w:p>
    <w:p>
      <w:pPr>
        <w:spacing w:line="182" w:lineRule="exact" w:before="0"/>
        <w:ind w:left="2662" w:right="2270" w:firstLine="0"/>
        <w:jc w:val="center"/>
        <w:rPr>
          <w:rFonts w:ascii="Cambria Math" w:eastAsia="Cambria Math"/>
          <w:sz w:val="16"/>
        </w:rPr>
      </w:pPr>
      <w:r>
        <w:rPr>
          <w:rFonts w:ascii="Cambria Math" w:eastAsia="Cambria Math"/>
          <w:spacing w:val="-5"/>
          <w:w w:val="105"/>
          <w:sz w:val="16"/>
        </w:rPr>
        <w:t>𝑟=1</w:t>
      </w:r>
    </w:p>
    <w:p>
      <w:pPr>
        <w:pStyle w:val="BodyText"/>
        <w:spacing w:before="236"/>
        <w:ind w:left="144"/>
      </w:pPr>
      <w:r>
        <w:rPr>
          <w:spacing w:val="-2"/>
        </w:rPr>
        <w:t>onde:</w:t>
      </w:r>
    </w:p>
    <w:p>
      <w:pPr>
        <w:pStyle w:val="BodyText"/>
        <w:spacing w:before="14"/>
      </w:pPr>
    </w:p>
    <w:p>
      <w:pPr>
        <w:pStyle w:val="BodyText"/>
        <w:spacing w:before="1"/>
        <w:ind w:left="144"/>
      </w:pPr>
      <w:r>
        <w:rPr>
          <w:rFonts w:ascii="Cambria Math" w:hAnsi="Cambria Math" w:eastAsia="Cambria Math"/>
        </w:rPr>
        <w:t>𝑦̂ </w:t>
      </w:r>
      <w:r>
        <w:rPr/>
        <w:t>é a</w:t>
      </w:r>
      <w:r>
        <w:rPr>
          <w:spacing w:val="-5"/>
        </w:rPr>
        <w:t> </w:t>
      </w:r>
      <w:r>
        <w:rPr/>
        <w:t>estimativa</w:t>
      </w:r>
      <w:r>
        <w:rPr>
          <w:spacing w:val="-4"/>
        </w:rPr>
        <w:t> </w:t>
      </w:r>
      <w:r>
        <w:rPr/>
        <w:t>do</w:t>
      </w:r>
      <w:r>
        <w:rPr>
          <w:spacing w:val="-3"/>
        </w:rPr>
        <w:t> </w:t>
      </w:r>
      <w:r>
        <w:rPr/>
        <w:t>indicador </w:t>
      </w:r>
      <w:r>
        <w:rPr>
          <w:rFonts w:ascii="Cambria" w:hAnsi="Cambria" w:eastAsia="Cambria"/>
          <w:i/>
        </w:rPr>
        <w:t>y</w:t>
      </w:r>
      <w:r>
        <w:rPr>
          <w:rFonts w:ascii="Cambria" w:hAnsi="Cambria" w:eastAsia="Cambria"/>
          <w:i/>
          <w:spacing w:val="-3"/>
        </w:rPr>
        <w:t> </w:t>
      </w:r>
      <w:r>
        <w:rPr/>
        <w:t>obtida</w:t>
      </w:r>
      <w:r>
        <w:rPr>
          <w:spacing w:val="-4"/>
        </w:rPr>
        <w:t> </w:t>
      </w:r>
      <w:r>
        <w:rPr/>
        <w:t>usando</w:t>
      </w:r>
      <w:r>
        <w:rPr>
          <w:spacing w:val="1"/>
        </w:rPr>
        <w:t> </w:t>
      </w:r>
      <w:r>
        <w:rPr/>
        <w:t>a</w:t>
      </w:r>
      <w:r>
        <w:rPr>
          <w:spacing w:val="-5"/>
        </w:rPr>
        <w:t> </w:t>
      </w:r>
      <w:r>
        <w:rPr/>
        <w:t>amostra</w:t>
      </w:r>
      <w:r>
        <w:rPr>
          <w:spacing w:val="-5"/>
        </w:rPr>
        <w:t> </w:t>
      </w:r>
      <w:r>
        <w:rPr/>
        <w:t>do</w:t>
      </w:r>
      <w:r>
        <w:rPr>
          <w:spacing w:val="1"/>
        </w:rPr>
        <w:t> </w:t>
      </w:r>
      <w:r>
        <w:rPr/>
        <w:t>Painel</w:t>
      </w:r>
      <w:r>
        <w:rPr>
          <w:spacing w:val="-2"/>
        </w:rPr>
        <w:t> </w:t>
      </w:r>
      <w:r>
        <w:rPr/>
        <w:t>TIC COVID-19</w:t>
      </w:r>
      <w:r>
        <w:rPr>
          <w:spacing w:val="-3"/>
        </w:rPr>
        <w:t> </w:t>
      </w:r>
      <w:r>
        <w:rPr/>
        <w:t>(com</w:t>
      </w:r>
      <w:r>
        <w:rPr>
          <w:spacing w:val="-1"/>
        </w:rPr>
        <w:t> </w:t>
      </w:r>
      <w:r>
        <w:rPr/>
        <w:t>2.465</w:t>
      </w:r>
      <w:r>
        <w:rPr>
          <w:spacing w:val="2"/>
        </w:rPr>
        <w:t> </w:t>
      </w:r>
      <w:r>
        <w:rPr>
          <w:spacing w:val="-2"/>
        </w:rPr>
        <w:t>respondentes);</w:t>
      </w:r>
    </w:p>
    <w:p>
      <w:pPr>
        <w:pStyle w:val="BodyText"/>
        <w:spacing w:before="10"/>
      </w:pPr>
    </w:p>
    <w:p>
      <w:pPr>
        <w:pStyle w:val="BodyText"/>
        <w:ind w:left="144"/>
      </w:pPr>
      <w:r>
        <w:rPr>
          <w:rFonts w:ascii="Cambria Math" w:hAnsi="Cambria Math" w:eastAsia="Cambria Math"/>
        </w:rPr>
        <w:t>𝑦̂</w:t>
      </w:r>
      <w:r>
        <w:rPr>
          <w:rFonts w:ascii="Cambria Math" w:hAnsi="Cambria Math" w:eastAsia="Cambria Math"/>
          <w:vertAlign w:val="subscript"/>
        </w:rPr>
        <w:t>𝑟</w:t>
      </w:r>
      <w:r>
        <w:rPr>
          <w:rFonts w:ascii="Cambria Math" w:hAnsi="Cambria Math" w:eastAsia="Cambria Math"/>
          <w:spacing w:val="12"/>
          <w:vertAlign w:val="baseline"/>
        </w:rPr>
        <w:t> </w:t>
      </w:r>
      <w:r>
        <w:rPr>
          <w:vertAlign w:val="baseline"/>
        </w:rPr>
        <w:t>é</w:t>
      </w:r>
      <w:r>
        <w:rPr>
          <w:spacing w:val="-1"/>
          <w:vertAlign w:val="baseline"/>
        </w:rPr>
        <w:t> </w:t>
      </w:r>
      <w:r>
        <w:rPr>
          <w:vertAlign w:val="baseline"/>
        </w:rPr>
        <w:t>a</w:t>
      </w:r>
      <w:r>
        <w:rPr>
          <w:spacing w:val="-5"/>
          <w:vertAlign w:val="baseline"/>
        </w:rPr>
        <w:t> </w:t>
      </w:r>
      <w:r>
        <w:rPr>
          <w:vertAlign w:val="baseline"/>
        </w:rPr>
        <w:t>estimativa</w:t>
      </w:r>
      <w:r>
        <w:rPr>
          <w:spacing w:val="-4"/>
          <w:vertAlign w:val="baseline"/>
        </w:rPr>
        <w:t> </w:t>
      </w:r>
      <w:r>
        <w:rPr>
          <w:vertAlign w:val="baseline"/>
        </w:rPr>
        <w:t>do</w:t>
      </w:r>
      <w:r>
        <w:rPr>
          <w:spacing w:val="-3"/>
          <w:vertAlign w:val="baseline"/>
        </w:rPr>
        <w:t> </w:t>
      </w:r>
      <w:r>
        <w:rPr>
          <w:vertAlign w:val="baseline"/>
        </w:rPr>
        <w:t>indicador</w:t>
      </w:r>
      <w:r>
        <w:rPr>
          <w:spacing w:val="3"/>
          <w:vertAlign w:val="baseline"/>
        </w:rPr>
        <w:t> </w:t>
      </w:r>
      <w:r>
        <w:rPr>
          <w:rFonts w:ascii="Cambria" w:hAnsi="Cambria" w:eastAsia="Cambria"/>
          <w:i/>
          <w:vertAlign w:val="baseline"/>
        </w:rPr>
        <w:t>y</w:t>
      </w:r>
      <w:r>
        <w:rPr>
          <w:rFonts w:ascii="Cambria" w:hAnsi="Cambria" w:eastAsia="Cambria"/>
          <w:i/>
          <w:spacing w:val="-3"/>
          <w:vertAlign w:val="baseline"/>
        </w:rPr>
        <w:t> </w:t>
      </w:r>
      <w:r>
        <w:rPr>
          <w:vertAlign w:val="baseline"/>
        </w:rPr>
        <w:t>na réplica </w:t>
      </w:r>
      <w:r>
        <w:rPr>
          <w:rFonts w:ascii="Cambria" w:hAnsi="Cambria" w:eastAsia="Cambria"/>
          <w:i/>
          <w:spacing w:val="-5"/>
          <w:vertAlign w:val="baseline"/>
        </w:rPr>
        <w:t>r</w:t>
      </w:r>
      <w:r>
        <w:rPr>
          <w:spacing w:val="-5"/>
          <w:vertAlign w:val="baseline"/>
        </w:rPr>
        <w:t>;</w:t>
      </w:r>
    </w:p>
    <w:p>
      <w:pPr>
        <w:pStyle w:val="BodyText"/>
        <w:spacing w:before="11"/>
      </w:pPr>
    </w:p>
    <w:p>
      <w:pPr>
        <w:pStyle w:val="BodyText"/>
        <w:ind w:left="144"/>
      </w:pPr>
      <w:r>
        <w:rPr>
          <w:rFonts w:ascii="Cambria Math" w:hAnsi="Cambria Math" w:eastAsia="Cambria Math"/>
        </w:rPr>
        <w:t>𝑅</w:t>
      </w:r>
      <w:r>
        <w:rPr>
          <w:rFonts w:ascii="Cambria Math" w:hAnsi="Cambria Math" w:eastAsia="Cambria Math"/>
          <w:spacing w:val="16"/>
        </w:rPr>
        <w:t> </w:t>
      </w:r>
      <w:r>
        <w:rPr>
          <w:rFonts w:ascii="Cambria Math" w:hAnsi="Cambria Math" w:eastAsia="Cambria Math"/>
        </w:rPr>
        <w:t>=</w:t>
      </w:r>
      <w:r>
        <w:rPr>
          <w:rFonts w:ascii="Cambria Math" w:hAnsi="Cambria Math" w:eastAsia="Cambria Math"/>
          <w:spacing w:val="9"/>
        </w:rPr>
        <w:t> </w:t>
      </w:r>
      <w:r>
        <w:rPr>
          <w:rFonts w:ascii="Cambria Math" w:hAnsi="Cambria Math" w:eastAsia="Cambria Math"/>
        </w:rPr>
        <w:t>200</w:t>
      </w:r>
      <w:r>
        <w:rPr>
          <w:rFonts w:ascii="Cambria Math" w:hAnsi="Cambria Math" w:eastAsia="Cambria Math"/>
          <w:spacing w:val="3"/>
        </w:rPr>
        <w:t> </w:t>
      </w:r>
      <w:r>
        <w:rPr/>
        <w:t>é</w:t>
      </w:r>
      <w:r>
        <w:rPr>
          <w:spacing w:val="-6"/>
        </w:rPr>
        <w:t> </w:t>
      </w:r>
      <w:r>
        <w:rPr/>
        <w:t>o total</w:t>
      </w:r>
      <w:r>
        <w:rPr>
          <w:spacing w:val="-3"/>
        </w:rPr>
        <w:t> </w:t>
      </w:r>
      <w:r>
        <w:rPr/>
        <w:t>de</w:t>
      </w:r>
      <w:r>
        <w:rPr>
          <w:spacing w:val="-2"/>
        </w:rPr>
        <w:t> </w:t>
      </w:r>
      <w:r>
        <w:rPr/>
        <w:t>réplicas </w:t>
      </w:r>
      <w:r>
        <w:rPr>
          <w:i/>
        </w:rPr>
        <w:t>bootstrap </w:t>
      </w:r>
      <w:r>
        <w:rPr>
          <w:spacing w:val="-2"/>
        </w:rPr>
        <w:t>formadas.</w:t>
      </w:r>
    </w:p>
    <w:p>
      <w:pPr>
        <w:pStyle w:val="BodyText"/>
        <w:spacing w:after="0"/>
        <w:sectPr>
          <w:type w:val="continuous"/>
          <w:pgSz w:w="11910" w:h="16840"/>
          <w:pgMar w:header="737" w:footer="1652" w:top="2180" w:bottom="1840" w:left="708" w:right="708"/>
        </w:sectPr>
      </w:pPr>
    </w:p>
    <w:p>
      <w:pPr>
        <w:pStyle w:val="BodyText"/>
        <w:rPr>
          <w:sz w:val="24"/>
        </w:rPr>
      </w:pPr>
    </w:p>
    <w:p>
      <w:pPr>
        <w:pStyle w:val="BodyText"/>
        <w:spacing w:before="195"/>
        <w:rPr>
          <w:sz w:val="24"/>
        </w:rPr>
      </w:pPr>
    </w:p>
    <w:p>
      <w:pPr>
        <w:pStyle w:val="Heading1"/>
        <w:numPr>
          <w:ilvl w:val="0"/>
          <w:numId w:val="1"/>
        </w:numPr>
        <w:tabs>
          <w:tab w:pos="439" w:val="left" w:leader="none"/>
        </w:tabs>
        <w:spacing w:line="240" w:lineRule="auto" w:before="0" w:after="0"/>
        <w:ind w:left="439" w:right="0" w:hanging="295"/>
        <w:jc w:val="both"/>
      </w:pPr>
      <w:r>
        <w:rPr/>
        <w:t>-</w:t>
      </w:r>
      <w:r>
        <w:rPr>
          <w:spacing w:val="-2"/>
        </w:rPr>
        <w:t> </w:t>
      </w:r>
      <w:r>
        <w:rPr/>
        <w:t>DISSEMINAÇÃO</w:t>
      </w:r>
      <w:r>
        <w:rPr>
          <w:spacing w:val="-1"/>
        </w:rPr>
        <w:t> </w:t>
      </w:r>
      <w:r>
        <w:rPr/>
        <w:t>DOS</w:t>
      </w:r>
      <w:r>
        <w:rPr>
          <w:spacing w:val="-1"/>
        </w:rPr>
        <w:t> </w:t>
      </w:r>
      <w:r>
        <w:rPr>
          <w:spacing w:val="-4"/>
        </w:rPr>
        <w:t>DADOS</w:t>
      </w:r>
    </w:p>
    <w:p>
      <w:pPr>
        <w:pStyle w:val="BodyText"/>
        <w:spacing w:line="276" w:lineRule="auto" w:before="283"/>
        <w:ind w:left="144" w:right="141"/>
        <w:jc w:val="both"/>
      </w:pPr>
      <w:r>
        <w:rPr/>
        <w:t>Os resultados do Painel COVID-19 são apresentados de acordo com as variáveis de classificação descritas no item “Domínios de Interesse para Análise e Divulgação”. Arredondamentos fazem com que, em alguns resultados, a soma das categorias parciais difira de 100% em questões de resposta única. O somatório de frequências em questões de respostas múltiplas usualmente é</w:t>
      </w:r>
      <w:r>
        <w:rPr>
          <w:spacing w:val="-1"/>
        </w:rPr>
        <w:t> </w:t>
      </w:r>
      <w:r>
        <w:rPr/>
        <w:t>diferente de 100%. Vale ressaltar que, nas tabelas de resultados, o hífen</w:t>
      </w:r>
      <w:r>
        <w:rPr>
          <w:spacing w:val="-4"/>
        </w:rPr>
        <w:t> </w:t>
      </w:r>
      <w:r>
        <w:rPr/>
        <w:t>(–)</w:t>
      </w:r>
      <w:r>
        <w:rPr>
          <w:spacing w:val="-3"/>
        </w:rPr>
        <w:t> </w:t>
      </w:r>
      <w:r>
        <w:rPr/>
        <w:t>é</w:t>
      </w:r>
      <w:r>
        <w:rPr>
          <w:spacing w:val="-6"/>
        </w:rPr>
        <w:t> </w:t>
      </w:r>
      <w:r>
        <w:rPr/>
        <w:t>utilizado</w:t>
      </w:r>
      <w:r>
        <w:rPr>
          <w:spacing w:val="-4"/>
        </w:rPr>
        <w:t> </w:t>
      </w:r>
      <w:r>
        <w:rPr/>
        <w:t>para</w:t>
      </w:r>
      <w:r>
        <w:rPr>
          <w:spacing w:val="-6"/>
        </w:rPr>
        <w:t> </w:t>
      </w:r>
      <w:r>
        <w:rPr/>
        <w:t>representar</w:t>
      </w:r>
      <w:r>
        <w:rPr>
          <w:spacing w:val="-5"/>
        </w:rPr>
        <w:t> </w:t>
      </w:r>
      <w:r>
        <w:rPr/>
        <w:t>a</w:t>
      </w:r>
      <w:r>
        <w:rPr>
          <w:spacing w:val="-6"/>
        </w:rPr>
        <w:t> </w:t>
      </w:r>
      <w:r>
        <w:rPr/>
        <w:t>não resposta</w:t>
      </w:r>
      <w:r>
        <w:rPr>
          <w:spacing w:val="-6"/>
        </w:rPr>
        <w:t> </w:t>
      </w:r>
      <w:r>
        <w:rPr/>
        <w:t>ao</w:t>
      </w:r>
      <w:r>
        <w:rPr>
          <w:spacing w:val="-4"/>
        </w:rPr>
        <w:t> </w:t>
      </w:r>
      <w:r>
        <w:rPr/>
        <w:t>item.</w:t>
      </w:r>
      <w:r>
        <w:rPr>
          <w:spacing w:val="-4"/>
        </w:rPr>
        <w:t> </w:t>
      </w:r>
      <w:r>
        <w:rPr/>
        <w:t>Por</w:t>
      </w:r>
      <w:r>
        <w:rPr>
          <w:spacing w:val="-5"/>
        </w:rPr>
        <w:t> </w:t>
      </w:r>
      <w:r>
        <w:rPr/>
        <w:t>outro</w:t>
      </w:r>
      <w:r>
        <w:rPr>
          <w:spacing w:val="-4"/>
        </w:rPr>
        <w:t> </w:t>
      </w:r>
      <w:r>
        <w:rPr/>
        <w:t>lado,</w:t>
      </w:r>
      <w:r>
        <w:rPr>
          <w:spacing w:val="-3"/>
        </w:rPr>
        <w:t> </w:t>
      </w:r>
      <w:r>
        <w:rPr/>
        <w:t>como</w:t>
      </w:r>
      <w:r>
        <w:rPr>
          <w:spacing w:val="-4"/>
        </w:rPr>
        <w:t> </w:t>
      </w:r>
      <w:r>
        <w:rPr/>
        <w:t>os</w:t>
      </w:r>
      <w:r>
        <w:rPr>
          <w:spacing w:val="-3"/>
        </w:rPr>
        <w:t> </w:t>
      </w:r>
      <w:r>
        <w:rPr/>
        <w:t>resultados</w:t>
      </w:r>
      <w:r>
        <w:rPr>
          <w:spacing w:val="-2"/>
        </w:rPr>
        <w:t> </w:t>
      </w:r>
      <w:r>
        <w:rPr/>
        <w:t>são</w:t>
      </w:r>
      <w:r>
        <w:rPr>
          <w:spacing w:val="-4"/>
        </w:rPr>
        <w:t> </w:t>
      </w:r>
      <w:r>
        <w:rPr/>
        <w:t>apresentados sem</w:t>
      </w:r>
      <w:r>
        <w:rPr>
          <w:spacing w:val="-7"/>
        </w:rPr>
        <w:t> </w:t>
      </w:r>
      <w:r>
        <w:rPr/>
        <w:t>casa</w:t>
      </w:r>
      <w:r>
        <w:rPr>
          <w:spacing w:val="-9"/>
        </w:rPr>
        <w:t> </w:t>
      </w:r>
      <w:r>
        <w:rPr/>
        <w:t>decimal,</w:t>
      </w:r>
      <w:r>
        <w:rPr>
          <w:spacing w:val="-6"/>
        </w:rPr>
        <w:t> </w:t>
      </w:r>
      <w:r>
        <w:rPr/>
        <w:t>as</w:t>
      </w:r>
      <w:r>
        <w:rPr>
          <w:spacing w:val="-5"/>
        </w:rPr>
        <w:t> </w:t>
      </w:r>
      <w:r>
        <w:rPr/>
        <w:t>células</w:t>
      </w:r>
      <w:r>
        <w:rPr>
          <w:spacing w:val="-5"/>
        </w:rPr>
        <w:t> </w:t>
      </w:r>
      <w:r>
        <w:rPr/>
        <w:t>com</w:t>
      </w:r>
      <w:r>
        <w:rPr>
          <w:spacing w:val="-7"/>
        </w:rPr>
        <w:t> </w:t>
      </w:r>
      <w:r>
        <w:rPr/>
        <w:t>valor</w:t>
      </w:r>
      <w:r>
        <w:rPr>
          <w:spacing w:val="-8"/>
        </w:rPr>
        <w:t> </w:t>
      </w:r>
      <w:r>
        <w:rPr/>
        <w:t>zero</w:t>
      </w:r>
      <w:r>
        <w:rPr>
          <w:spacing w:val="-7"/>
        </w:rPr>
        <w:t> </w:t>
      </w:r>
      <w:r>
        <w:rPr/>
        <w:t>significam</w:t>
      </w:r>
      <w:r>
        <w:rPr>
          <w:spacing w:val="-7"/>
        </w:rPr>
        <w:t> </w:t>
      </w:r>
      <w:r>
        <w:rPr/>
        <w:t>que</w:t>
      </w:r>
      <w:r>
        <w:rPr>
          <w:spacing w:val="-9"/>
        </w:rPr>
        <w:t> </w:t>
      </w:r>
      <w:r>
        <w:rPr/>
        <w:t>houve</w:t>
      </w:r>
      <w:r>
        <w:rPr>
          <w:spacing w:val="-8"/>
        </w:rPr>
        <w:t> </w:t>
      </w:r>
      <w:r>
        <w:rPr/>
        <w:t>resposta</w:t>
      </w:r>
      <w:r>
        <w:rPr>
          <w:spacing w:val="-5"/>
        </w:rPr>
        <w:t> </w:t>
      </w:r>
      <w:r>
        <w:rPr/>
        <w:t>ao</w:t>
      </w:r>
      <w:r>
        <w:rPr>
          <w:spacing w:val="-7"/>
        </w:rPr>
        <w:t> </w:t>
      </w:r>
      <w:r>
        <w:rPr/>
        <w:t>item,</w:t>
      </w:r>
      <w:r>
        <w:rPr>
          <w:spacing w:val="-6"/>
        </w:rPr>
        <w:t> </w:t>
      </w:r>
      <w:r>
        <w:rPr/>
        <w:t>mas</w:t>
      </w:r>
      <w:r>
        <w:rPr>
          <w:spacing w:val="-5"/>
        </w:rPr>
        <w:t> </w:t>
      </w:r>
      <w:r>
        <w:rPr/>
        <w:t>ele</w:t>
      </w:r>
      <w:r>
        <w:rPr>
          <w:spacing w:val="-5"/>
        </w:rPr>
        <w:t> </w:t>
      </w:r>
      <w:r>
        <w:rPr/>
        <w:t>é</w:t>
      </w:r>
      <w:r>
        <w:rPr>
          <w:spacing w:val="-9"/>
        </w:rPr>
        <w:t> </w:t>
      </w:r>
      <w:r>
        <w:rPr/>
        <w:t>explicitamente</w:t>
      </w:r>
      <w:r>
        <w:rPr>
          <w:spacing w:val="-9"/>
        </w:rPr>
        <w:t> </w:t>
      </w:r>
      <w:r>
        <w:rPr/>
        <w:t>maior do que zero e menor do que um por cento.</w:t>
      </w:r>
    </w:p>
    <w:p>
      <w:pPr>
        <w:pStyle w:val="BodyText"/>
        <w:spacing w:line="276" w:lineRule="auto" w:before="242"/>
        <w:ind w:left="144" w:right="138"/>
        <w:jc w:val="both"/>
      </w:pPr>
      <w:r>
        <w:rPr/>
        <w:t>Os</w:t>
      </w:r>
      <w:r>
        <w:rPr>
          <w:spacing w:val="-6"/>
        </w:rPr>
        <w:t> </w:t>
      </w:r>
      <w:r>
        <w:rPr/>
        <w:t>resultados</w:t>
      </w:r>
      <w:r>
        <w:rPr>
          <w:spacing w:val="-6"/>
        </w:rPr>
        <w:t> </w:t>
      </w:r>
      <w:r>
        <w:rPr/>
        <w:t>são</w:t>
      </w:r>
      <w:r>
        <w:rPr>
          <w:spacing w:val="-8"/>
        </w:rPr>
        <w:t> </w:t>
      </w:r>
      <w:r>
        <w:rPr/>
        <w:t>publicados</w:t>
      </w:r>
      <w:r>
        <w:rPr>
          <w:spacing w:val="-6"/>
        </w:rPr>
        <w:t> </w:t>
      </w:r>
      <w:r>
        <w:rPr/>
        <w:t>em</w:t>
      </w:r>
      <w:r>
        <w:rPr>
          <w:spacing w:val="-8"/>
        </w:rPr>
        <w:t> </w:t>
      </w:r>
      <w:r>
        <w:rPr/>
        <w:t>relatório</w:t>
      </w:r>
      <w:r>
        <w:rPr>
          <w:spacing w:val="-5"/>
        </w:rPr>
        <w:t> </w:t>
      </w:r>
      <w:r>
        <w:rPr>
          <w:i/>
        </w:rPr>
        <w:t>on-line</w:t>
      </w:r>
      <w:r>
        <w:rPr>
          <w:i/>
          <w:spacing w:val="-9"/>
        </w:rPr>
        <w:t> </w:t>
      </w:r>
      <w:r>
        <w:rPr/>
        <w:t>e</w:t>
      </w:r>
      <w:r>
        <w:rPr>
          <w:spacing w:val="-10"/>
        </w:rPr>
        <w:t> </w:t>
      </w:r>
      <w:r>
        <w:rPr/>
        <w:t>disponibilizados</w:t>
      </w:r>
      <w:r>
        <w:rPr>
          <w:spacing w:val="-6"/>
        </w:rPr>
        <w:t> </w:t>
      </w:r>
      <w:r>
        <w:rPr/>
        <w:t>no</w:t>
      </w:r>
      <w:r>
        <w:rPr>
          <w:spacing w:val="-7"/>
        </w:rPr>
        <w:t> </w:t>
      </w:r>
      <w:r>
        <w:rPr>
          <w:i/>
        </w:rPr>
        <w:t>site</w:t>
      </w:r>
      <w:r>
        <w:rPr>
          <w:i/>
          <w:spacing w:val="-9"/>
        </w:rPr>
        <w:t> </w:t>
      </w:r>
      <w:r>
        <w:rPr/>
        <w:t>do</w:t>
      </w:r>
      <w:r>
        <w:rPr>
          <w:spacing w:val="-8"/>
        </w:rPr>
        <w:t> </w:t>
      </w:r>
      <w:r>
        <w:rPr/>
        <w:t>Cetic.br</w:t>
      </w:r>
      <w:r>
        <w:rPr>
          <w:spacing w:val="-5"/>
        </w:rPr>
        <w:t> </w:t>
      </w:r>
      <w:r>
        <w:rPr/>
        <w:t>(</w:t>
      </w:r>
      <w:hyperlink r:id="rId14">
        <w:r>
          <w:rPr/>
          <w:t>https://cetic.br</w:t>
        </w:r>
      </w:hyperlink>
      <w:r>
        <w:rPr/>
        <w:t>).</w:t>
      </w:r>
      <w:r>
        <w:rPr>
          <w:spacing w:val="-8"/>
        </w:rPr>
        <w:t> </w:t>
      </w:r>
      <w:r>
        <w:rPr/>
        <w:t>As</w:t>
      </w:r>
      <w:r>
        <w:rPr>
          <w:spacing w:val="-6"/>
        </w:rPr>
        <w:t> </w:t>
      </w:r>
      <w:r>
        <w:rPr/>
        <w:t>tabelas com estimativas de totais e margens de erro calculadas para cada indicador estão disponíveis para </w:t>
      </w:r>
      <w:r>
        <w:rPr>
          <w:i/>
        </w:rPr>
        <w:t>download </w:t>
      </w:r>
      <w:r>
        <w:rPr/>
        <w:t>no </w:t>
      </w:r>
      <w:r>
        <w:rPr>
          <w:i/>
        </w:rPr>
        <w:t>website</w:t>
      </w:r>
      <w:r>
        <w:rPr>
          <w:i/>
          <w:spacing w:val="-9"/>
        </w:rPr>
        <w:t> </w:t>
      </w:r>
      <w:r>
        <w:rPr/>
        <w:t>do</w:t>
      </w:r>
      <w:r>
        <w:rPr>
          <w:spacing w:val="-4"/>
        </w:rPr>
        <w:t> </w:t>
      </w:r>
      <w:r>
        <w:rPr/>
        <w:t>Cetic.br.</w:t>
      </w:r>
      <w:r>
        <w:rPr>
          <w:spacing w:val="-4"/>
        </w:rPr>
        <w:t> </w:t>
      </w:r>
      <w:r>
        <w:rPr/>
        <w:t>Para</w:t>
      </w:r>
      <w:r>
        <w:rPr>
          <w:spacing w:val="-6"/>
        </w:rPr>
        <w:t> </w:t>
      </w:r>
      <w:r>
        <w:rPr/>
        <w:t>comparação</w:t>
      </w:r>
      <w:r>
        <w:rPr>
          <w:spacing w:val="-5"/>
        </w:rPr>
        <w:t> </w:t>
      </w:r>
      <w:r>
        <w:rPr/>
        <w:t>com</w:t>
      </w:r>
      <w:r>
        <w:rPr>
          <w:spacing w:val="-3"/>
        </w:rPr>
        <w:t> </w:t>
      </w:r>
      <w:r>
        <w:rPr/>
        <w:t>a</w:t>
      </w:r>
      <w:r>
        <w:rPr>
          <w:spacing w:val="-6"/>
        </w:rPr>
        <w:t> </w:t>
      </w:r>
      <w:r>
        <w:rPr/>
        <w:t>segunda</w:t>
      </w:r>
      <w:r>
        <w:rPr>
          <w:spacing w:val="-9"/>
        </w:rPr>
        <w:t> </w:t>
      </w:r>
      <w:r>
        <w:rPr/>
        <w:t>edição</w:t>
      </w:r>
      <w:r>
        <w:rPr>
          <w:spacing w:val="-8"/>
        </w:rPr>
        <w:t> </w:t>
      </w:r>
      <w:r>
        <w:rPr/>
        <w:t>do</w:t>
      </w:r>
      <w:r>
        <w:rPr>
          <w:spacing w:val="-4"/>
        </w:rPr>
        <w:t> </w:t>
      </w:r>
      <w:r>
        <w:rPr/>
        <w:t>Painel</w:t>
      </w:r>
      <w:r>
        <w:rPr>
          <w:spacing w:val="-7"/>
        </w:rPr>
        <w:t> </w:t>
      </w:r>
      <w:r>
        <w:rPr/>
        <w:t>TIC</w:t>
      </w:r>
      <w:r>
        <w:rPr>
          <w:spacing w:val="-5"/>
        </w:rPr>
        <w:t> </w:t>
      </w:r>
      <w:r>
        <w:rPr/>
        <w:t>COVID-19</w:t>
      </w:r>
      <w:r>
        <w:rPr>
          <w:spacing w:val="-4"/>
        </w:rPr>
        <w:t> </w:t>
      </w:r>
      <w:r>
        <w:rPr/>
        <w:t>foram</w:t>
      </w:r>
      <w:r>
        <w:rPr>
          <w:spacing w:val="-4"/>
        </w:rPr>
        <w:t> </w:t>
      </w:r>
      <w:r>
        <w:rPr/>
        <w:t>feitas</w:t>
      </w:r>
      <w:r>
        <w:rPr>
          <w:spacing w:val="-6"/>
        </w:rPr>
        <w:t> </w:t>
      </w:r>
      <w:r>
        <w:rPr/>
        <w:t>novas</w:t>
      </w:r>
      <w:r>
        <w:rPr>
          <w:spacing w:val="-3"/>
        </w:rPr>
        <w:t> </w:t>
      </w:r>
      <w:r>
        <w:rPr/>
        <w:t>tabulações dos indicadores comuns das duas edições para a população com recortes iguais a 0,72.</w:t>
      </w:r>
    </w:p>
    <w:p>
      <w:pPr>
        <w:pStyle w:val="BodyText"/>
        <w:spacing w:after="0" w:line="276" w:lineRule="auto"/>
        <w:jc w:val="both"/>
        <w:sectPr>
          <w:headerReference w:type="default" r:id="rId12"/>
          <w:footerReference w:type="default" r:id="rId13"/>
          <w:pgSz w:w="11910" w:h="16840"/>
          <w:pgMar w:header="737" w:footer="1652" w:top="2180" w:bottom="1840" w:left="708" w:right="708"/>
        </w:sectPr>
      </w:pPr>
    </w:p>
    <w:p>
      <w:pPr>
        <w:pStyle w:val="BodyText"/>
        <w:rPr>
          <w:sz w:val="24"/>
        </w:rPr>
      </w:pPr>
    </w:p>
    <w:p>
      <w:pPr>
        <w:pStyle w:val="BodyText"/>
        <w:spacing w:before="195"/>
        <w:rPr>
          <w:sz w:val="24"/>
        </w:rPr>
      </w:pPr>
    </w:p>
    <w:p>
      <w:pPr>
        <w:pStyle w:val="Heading1"/>
        <w:ind w:left="144" w:firstLine="0"/>
        <w:jc w:val="left"/>
      </w:pPr>
      <w:r>
        <w:rPr>
          <w:spacing w:val="-2"/>
        </w:rPr>
        <w:t>REFERÊNCIAS</w:t>
      </w:r>
    </w:p>
    <w:p>
      <w:pPr>
        <w:pStyle w:val="BodyText"/>
        <w:spacing w:line="278" w:lineRule="auto" w:before="283"/>
        <w:ind w:left="144" w:right="143"/>
        <w:jc w:val="both"/>
      </w:pPr>
      <w:r>
        <w:rPr/>
        <w:t>Comitê Gestor da Internet no Brasil – CGI.br. (no prelo). Pesquisa sobre o uso das tecnologias de informação e comunicação nos domicílios brasileiros: TIC Domicílios 2019. São Paulo: CGI.br.</w:t>
      </w:r>
    </w:p>
    <w:p>
      <w:pPr>
        <w:spacing w:line="276" w:lineRule="auto" w:before="237"/>
        <w:ind w:left="144" w:right="139" w:firstLine="0"/>
        <w:jc w:val="both"/>
        <w:rPr>
          <w:sz w:val="22"/>
        </w:rPr>
      </w:pPr>
      <w:r>
        <w:rPr>
          <w:sz w:val="22"/>
        </w:rPr>
        <w:t>Dever, J. A. (2018). Combining probability and nonprobability samples to form efficient hybrid estimates: An evaluation of the commom support assumption. Proceedings of the </w:t>
      </w:r>
      <w:r>
        <w:rPr>
          <w:i/>
          <w:sz w:val="22"/>
        </w:rPr>
        <w:t>2018 Federal Committee on Statistical Methodology (FCSM) Research Conference</w:t>
      </w:r>
      <w:r>
        <w:rPr>
          <w:sz w:val="22"/>
        </w:rPr>
        <w:t>, Washington, Estados Unidos, 15.</w:t>
      </w:r>
    </w:p>
    <w:p>
      <w:pPr>
        <w:pStyle w:val="BodyText"/>
        <w:spacing w:line="276" w:lineRule="auto" w:before="241"/>
        <w:ind w:left="144" w:right="135"/>
        <w:jc w:val="both"/>
      </w:pPr>
      <w:r>
        <w:rPr/>
        <w:t>Elliott, M. R. (2009). Combining data from probability and non-probability samples using pseudo-weights. </w:t>
      </w:r>
      <w:r>
        <w:rPr>
          <w:i/>
        </w:rPr>
        <w:t>Survey Practice</w:t>
      </w:r>
      <w:r>
        <w:rPr/>
        <w:t>, </w:t>
      </w:r>
      <w:r>
        <w:rPr>
          <w:i/>
        </w:rPr>
        <w:t>2</w:t>
      </w:r>
      <w:r>
        <w:rPr/>
        <w:t>(6), 1–7.</w:t>
      </w:r>
    </w:p>
    <w:p>
      <w:pPr>
        <w:spacing w:before="239"/>
        <w:ind w:left="144" w:right="0" w:firstLine="0"/>
        <w:jc w:val="both"/>
        <w:rPr>
          <w:sz w:val="22"/>
        </w:rPr>
      </w:pPr>
      <w:r>
        <w:rPr>
          <w:sz w:val="22"/>
        </w:rPr>
        <w:t>Elliott,</w:t>
      </w:r>
      <w:r>
        <w:rPr>
          <w:spacing w:val="-5"/>
          <w:sz w:val="22"/>
        </w:rPr>
        <w:t> </w:t>
      </w:r>
      <w:r>
        <w:rPr>
          <w:sz w:val="22"/>
        </w:rPr>
        <w:t>M.</w:t>
      </w:r>
      <w:r>
        <w:rPr>
          <w:spacing w:val="-3"/>
          <w:sz w:val="22"/>
        </w:rPr>
        <w:t> </w:t>
      </w:r>
      <w:r>
        <w:rPr>
          <w:sz w:val="22"/>
        </w:rPr>
        <w:t>R.,</w:t>
      </w:r>
      <w:r>
        <w:rPr>
          <w:spacing w:val="-2"/>
          <w:sz w:val="22"/>
        </w:rPr>
        <w:t> </w:t>
      </w:r>
      <w:r>
        <w:rPr>
          <w:sz w:val="22"/>
        </w:rPr>
        <w:t>&amp;</w:t>
      </w:r>
      <w:r>
        <w:rPr>
          <w:spacing w:val="-1"/>
          <w:sz w:val="22"/>
        </w:rPr>
        <w:t> </w:t>
      </w:r>
      <w:r>
        <w:rPr>
          <w:sz w:val="22"/>
        </w:rPr>
        <w:t>Valliant,</w:t>
      </w:r>
      <w:r>
        <w:rPr>
          <w:spacing w:val="-3"/>
          <w:sz w:val="22"/>
        </w:rPr>
        <w:t> </w:t>
      </w:r>
      <w:r>
        <w:rPr>
          <w:sz w:val="22"/>
        </w:rPr>
        <w:t>R.</w:t>
      </w:r>
      <w:r>
        <w:rPr>
          <w:spacing w:val="-3"/>
          <w:sz w:val="22"/>
        </w:rPr>
        <w:t> </w:t>
      </w:r>
      <w:r>
        <w:rPr>
          <w:sz w:val="22"/>
        </w:rPr>
        <w:t>(2017).</w:t>
      </w:r>
      <w:r>
        <w:rPr>
          <w:spacing w:val="-3"/>
          <w:sz w:val="22"/>
        </w:rPr>
        <w:t> </w:t>
      </w:r>
      <w:r>
        <w:rPr>
          <w:sz w:val="22"/>
        </w:rPr>
        <w:t>Inference</w:t>
      </w:r>
      <w:r>
        <w:rPr>
          <w:spacing w:val="-5"/>
          <w:sz w:val="22"/>
        </w:rPr>
        <w:t> </w:t>
      </w:r>
      <w:r>
        <w:rPr>
          <w:sz w:val="22"/>
        </w:rPr>
        <w:t>for</w:t>
      </w:r>
      <w:r>
        <w:rPr>
          <w:spacing w:val="-3"/>
          <w:sz w:val="22"/>
        </w:rPr>
        <w:t> </w:t>
      </w:r>
      <w:r>
        <w:rPr>
          <w:sz w:val="22"/>
        </w:rPr>
        <w:t>nonprobability</w:t>
      </w:r>
      <w:r>
        <w:rPr>
          <w:spacing w:val="-3"/>
          <w:sz w:val="22"/>
        </w:rPr>
        <w:t> </w:t>
      </w:r>
      <w:r>
        <w:rPr>
          <w:sz w:val="22"/>
        </w:rPr>
        <w:t>samples.</w:t>
      </w:r>
      <w:r>
        <w:rPr>
          <w:spacing w:val="-2"/>
          <w:sz w:val="22"/>
        </w:rPr>
        <w:t> </w:t>
      </w:r>
      <w:r>
        <w:rPr>
          <w:i/>
          <w:sz w:val="22"/>
        </w:rPr>
        <w:t>Statistical</w:t>
      </w:r>
      <w:r>
        <w:rPr>
          <w:i/>
          <w:spacing w:val="-2"/>
          <w:sz w:val="22"/>
        </w:rPr>
        <w:t> </w:t>
      </w:r>
      <w:r>
        <w:rPr>
          <w:i/>
          <w:sz w:val="22"/>
        </w:rPr>
        <w:t>Science,</w:t>
      </w:r>
      <w:r>
        <w:rPr>
          <w:i/>
          <w:spacing w:val="2"/>
          <w:sz w:val="22"/>
        </w:rPr>
        <w:t> </w:t>
      </w:r>
      <w:r>
        <w:rPr>
          <w:i/>
          <w:sz w:val="22"/>
        </w:rPr>
        <w:t>32</w:t>
      </w:r>
      <w:r>
        <w:rPr>
          <w:sz w:val="22"/>
        </w:rPr>
        <w:t>(2),</w:t>
      </w:r>
      <w:r>
        <w:rPr>
          <w:spacing w:val="-2"/>
          <w:sz w:val="22"/>
        </w:rPr>
        <w:t> 249–64.</w:t>
      </w:r>
    </w:p>
    <w:p>
      <w:pPr>
        <w:pStyle w:val="BodyText"/>
        <w:spacing w:before="11"/>
      </w:pPr>
    </w:p>
    <w:p>
      <w:pPr>
        <w:pStyle w:val="BodyText"/>
        <w:ind w:left="144"/>
        <w:jc w:val="both"/>
      </w:pPr>
      <w:r>
        <w:rPr/>
        <w:t>Little,</w:t>
      </w:r>
      <w:r>
        <w:rPr>
          <w:spacing w:val="-5"/>
        </w:rPr>
        <w:t> </w:t>
      </w:r>
      <w:r>
        <w:rPr/>
        <w:t>R.</w:t>
      </w:r>
      <w:r>
        <w:rPr>
          <w:spacing w:val="-3"/>
        </w:rPr>
        <w:t> </w:t>
      </w:r>
      <w:r>
        <w:rPr/>
        <w:t>J.</w:t>
      </w:r>
      <w:r>
        <w:rPr>
          <w:spacing w:val="-3"/>
        </w:rPr>
        <w:t> </w:t>
      </w:r>
      <w:r>
        <w:rPr/>
        <w:t>A.,</w:t>
      </w:r>
      <w:r>
        <w:rPr>
          <w:spacing w:val="-2"/>
        </w:rPr>
        <w:t> </w:t>
      </w:r>
      <w:r>
        <w:rPr/>
        <w:t>&amp;</w:t>
      </w:r>
      <w:r>
        <w:rPr>
          <w:spacing w:val="-2"/>
        </w:rPr>
        <w:t> </w:t>
      </w:r>
      <w:r>
        <w:rPr/>
        <w:t>Rubin,</w:t>
      </w:r>
      <w:r>
        <w:rPr>
          <w:spacing w:val="-1"/>
        </w:rPr>
        <w:t> </w:t>
      </w:r>
      <w:r>
        <w:rPr/>
        <w:t>D.</w:t>
      </w:r>
      <w:r>
        <w:rPr>
          <w:spacing w:val="-3"/>
        </w:rPr>
        <w:t> </w:t>
      </w:r>
      <w:r>
        <w:rPr/>
        <w:t>B.</w:t>
      </w:r>
      <w:r>
        <w:rPr>
          <w:spacing w:val="-3"/>
        </w:rPr>
        <w:t> </w:t>
      </w:r>
      <w:r>
        <w:rPr/>
        <w:t>(2002).</w:t>
      </w:r>
      <w:r>
        <w:rPr>
          <w:spacing w:val="-3"/>
        </w:rPr>
        <w:t> </w:t>
      </w:r>
      <w:r>
        <w:rPr/>
        <w:t>Statistical</w:t>
      </w:r>
      <w:r>
        <w:rPr>
          <w:spacing w:val="-1"/>
        </w:rPr>
        <w:t> </w:t>
      </w:r>
      <w:r>
        <w:rPr/>
        <w:t>analysis</w:t>
      </w:r>
      <w:r>
        <w:rPr>
          <w:spacing w:val="-2"/>
        </w:rPr>
        <w:t> </w:t>
      </w:r>
      <w:r>
        <w:rPr/>
        <w:t>with</w:t>
      </w:r>
      <w:r>
        <w:rPr>
          <w:spacing w:val="-2"/>
        </w:rPr>
        <w:t> </w:t>
      </w:r>
      <w:r>
        <w:rPr/>
        <w:t>missing</w:t>
      </w:r>
      <w:r>
        <w:rPr>
          <w:spacing w:val="-2"/>
        </w:rPr>
        <w:t> </w:t>
      </w:r>
      <w:r>
        <w:rPr/>
        <w:t>data.</w:t>
      </w:r>
      <w:r>
        <w:rPr>
          <w:spacing w:val="-3"/>
        </w:rPr>
        <w:t> </w:t>
      </w:r>
      <w:r>
        <w:rPr/>
        <w:t>Wiley</w:t>
      </w:r>
      <w:r>
        <w:rPr>
          <w:spacing w:val="-3"/>
        </w:rPr>
        <w:t> </w:t>
      </w:r>
      <w:r>
        <w:rPr/>
        <w:t>Series</w:t>
      </w:r>
      <w:r>
        <w:rPr>
          <w:spacing w:val="-3"/>
        </w:rPr>
        <w:t> </w:t>
      </w:r>
      <w:r>
        <w:rPr/>
        <w:t>in</w:t>
      </w:r>
      <w:r>
        <w:rPr>
          <w:spacing w:val="-3"/>
        </w:rPr>
        <w:t> </w:t>
      </w:r>
      <w:r>
        <w:rPr/>
        <w:t>Probability</w:t>
      </w:r>
      <w:r>
        <w:rPr>
          <w:spacing w:val="-3"/>
        </w:rPr>
        <w:t> </w:t>
      </w:r>
      <w:r>
        <w:rPr/>
        <w:t>and</w:t>
      </w:r>
      <w:r>
        <w:rPr>
          <w:spacing w:val="1"/>
        </w:rPr>
        <w:t> </w:t>
      </w:r>
      <w:r>
        <w:rPr>
          <w:spacing w:val="-2"/>
        </w:rPr>
        <w:t>Statistics.</w:t>
      </w:r>
    </w:p>
    <w:p>
      <w:pPr>
        <w:pStyle w:val="BodyText"/>
        <w:spacing w:before="11"/>
      </w:pPr>
    </w:p>
    <w:p>
      <w:pPr>
        <w:spacing w:line="278" w:lineRule="auto" w:before="0"/>
        <w:ind w:left="144" w:right="135" w:firstLine="0"/>
        <w:jc w:val="both"/>
        <w:rPr>
          <w:sz w:val="22"/>
        </w:rPr>
      </w:pPr>
      <w:r>
        <w:rPr>
          <w:sz w:val="22"/>
        </w:rPr>
        <w:t>União Internacional de Telecomunicações – UIT. (2014). </w:t>
      </w:r>
      <w:r>
        <w:rPr>
          <w:i/>
          <w:sz w:val="22"/>
        </w:rPr>
        <w:t>Manual for measuring ICT access and use by households and individuals 2014</w:t>
      </w:r>
      <w:r>
        <w:rPr>
          <w:sz w:val="22"/>
        </w:rPr>
        <w:t>. Recuperado em 1 agosto, 2020, de https://</w:t>
      </w:r>
      <w:hyperlink r:id="rId15">
        <w:r>
          <w:rPr>
            <w:sz w:val="22"/>
          </w:rPr>
          <w:t>www.itu.int/dms_pub/itu-d/opb/ind/D-IND-</w:t>
        </w:r>
      </w:hyperlink>
      <w:r>
        <w:rPr>
          <w:sz w:val="22"/>
        </w:rPr>
        <w:t> </w:t>
      </w:r>
      <w:r>
        <w:rPr>
          <w:spacing w:val="-2"/>
          <w:sz w:val="22"/>
        </w:rPr>
        <w:t>ITCMEAS-2014-PDF-E.pdf</w:t>
      </w:r>
    </w:p>
    <w:p>
      <w:pPr>
        <w:spacing w:line="276" w:lineRule="auto" w:before="234"/>
        <w:ind w:left="144" w:right="144" w:firstLine="0"/>
        <w:jc w:val="both"/>
        <w:rPr>
          <w:sz w:val="22"/>
        </w:rPr>
      </w:pPr>
      <w:r>
        <w:rPr>
          <w:sz w:val="22"/>
        </w:rPr>
        <w:t>Valliant,</w:t>
      </w:r>
      <w:r>
        <w:rPr>
          <w:spacing w:val="-3"/>
          <w:sz w:val="22"/>
        </w:rPr>
        <w:t> </w:t>
      </w:r>
      <w:r>
        <w:rPr>
          <w:sz w:val="22"/>
        </w:rPr>
        <w:t>R.</w:t>
      </w:r>
      <w:r>
        <w:rPr>
          <w:spacing w:val="-2"/>
          <w:sz w:val="22"/>
        </w:rPr>
        <w:t> </w:t>
      </w:r>
      <w:r>
        <w:rPr>
          <w:sz w:val="22"/>
        </w:rPr>
        <w:t>(2019).</w:t>
      </w:r>
      <w:r>
        <w:rPr>
          <w:spacing w:val="-4"/>
          <w:sz w:val="22"/>
        </w:rPr>
        <w:t> </w:t>
      </w:r>
      <w:r>
        <w:rPr>
          <w:sz w:val="22"/>
        </w:rPr>
        <w:t>Comparing alternatives</w:t>
      </w:r>
      <w:r>
        <w:rPr>
          <w:spacing w:val="-3"/>
          <w:sz w:val="22"/>
        </w:rPr>
        <w:t> </w:t>
      </w:r>
      <w:r>
        <w:rPr>
          <w:sz w:val="22"/>
        </w:rPr>
        <w:t>for estimation from</w:t>
      </w:r>
      <w:r>
        <w:rPr>
          <w:spacing w:val="-2"/>
          <w:sz w:val="22"/>
        </w:rPr>
        <w:t> </w:t>
      </w:r>
      <w:r>
        <w:rPr>
          <w:sz w:val="22"/>
        </w:rPr>
        <w:t>nonprobability</w:t>
      </w:r>
      <w:r>
        <w:rPr>
          <w:spacing w:val="-3"/>
          <w:sz w:val="22"/>
        </w:rPr>
        <w:t> </w:t>
      </w:r>
      <w:r>
        <w:rPr>
          <w:sz w:val="22"/>
        </w:rPr>
        <w:t>samples.</w:t>
      </w:r>
      <w:r>
        <w:rPr>
          <w:spacing w:val="-3"/>
          <w:sz w:val="22"/>
        </w:rPr>
        <w:t> </w:t>
      </w:r>
      <w:r>
        <w:rPr>
          <w:i/>
          <w:sz w:val="22"/>
        </w:rPr>
        <w:t>Journal</w:t>
      </w:r>
      <w:r>
        <w:rPr>
          <w:i/>
          <w:spacing w:val="-3"/>
          <w:sz w:val="22"/>
        </w:rPr>
        <w:t> </w:t>
      </w:r>
      <w:r>
        <w:rPr>
          <w:i/>
          <w:sz w:val="22"/>
        </w:rPr>
        <w:t>of Survey</w:t>
      </w:r>
      <w:r>
        <w:rPr>
          <w:i/>
          <w:spacing w:val="-3"/>
          <w:sz w:val="22"/>
        </w:rPr>
        <w:t> </w:t>
      </w:r>
      <w:r>
        <w:rPr>
          <w:i/>
          <w:sz w:val="22"/>
        </w:rPr>
        <w:t>Statistics and Methodology</w:t>
      </w:r>
      <w:r>
        <w:rPr>
          <w:sz w:val="22"/>
        </w:rPr>
        <w:t>, </w:t>
      </w:r>
      <w:r>
        <w:rPr>
          <w:i/>
          <w:sz w:val="22"/>
        </w:rPr>
        <w:t>8</w:t>
      </w:r>
      <w:r>
        <w:rPr>
          <w:sz w:val="22"/>
        </w:rPr>
        <w:t>(2), 231–263.</w:t>
      </w:r>
    </w:p>
    <w:p>
      <w:pPr>
        <w:pStyle w:val="BodyText"/>
        <w:spacing w:line="278" w:lineRule="auto" w:before="238"/>
        <w:ind w:left="144" w:right="140"/>
        <w:jc w:val="both"/>
      </w:pPr>
      <w:r>
        <w:rPr/>
        <w:t>Valliant, R., &amp; Dever, J. A. (2011). Estimating propensity adjustments for volunteer web surveys. Sociological Methods and Research, 40(1), 105–137.</w:t>
      </w:r>
    </w:p>
    <w:sectPr>
      <w:pgSz w:w="11910" w:h="16840"/>
      <w:pgMar w:header="737" w:footer="1652" w:top="2180" w:bottom="18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00576">
          <wp:simplePos x="0" y="0"/>
          <wp:positionH relativeFrom="page">
            <wp:posOffset>877921</wp:posOffset>
          </wp:positionH>
          <wp:positionV relativeFrom="page">
            <wp:posOffset>9514840</wp:posOffset>
          </wp:positionV>
          <wp:extent cx="5746261" cy="80452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03648">
          <wp:simplePos x="0" y="0"/>
          <wp:positionH relativeFrom="page">
            <wp:posOffset>877921</wp:posOffset>
          </wp:positionH>
          <wp:positionV relativeFrom="page">
            <wp:posOffset>9514840</wp:posOffset>
          </wp:positionV>
          <wp:extent cx="5746261" cy="80452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06720">
          <wp:simplePos x="0" y="0"/>
          <wp:positionH relativeFrom="page">
            <wp:posOffset>877921</wp:posOffset>
          </wp:positionH>
          <wp:positionV relativeFrom="page">
            <wp:posOffset>9514840</wp:posOffset>
          </wp:positionV>
          <wp:extent cx="5746261" cy="804529"/>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09792">
          <wp:simplePos x="0" y="0"/>
          <wp:positionH relativeFrom="page">
            <wp:posOffset>877921</wp:posOffset>
          </wp:positionH>
          <wp:positionV relativeFrom="page">
            <wp:posOffset>9514840</wp:posOffset>
          </wp:positionV>
          <wp:extent cx="5746261" cy="80452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8016">
              <wp:simplePos x="0" y="0"/>
              <wp:positionH relativeFrom="page">
                <wp:posOffset>1036912</wp:posOffset>
              </wp:positionH>
              <wp:positionV relativeFrom="page">
                <wp:posOffset>467994</wp:posOffset>
              </wp:positionV>
              <wp:extent cx="370205" cy="4679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0205" cy="467995"/>
                        <a:chExt cx="370205" cy="467995"/>
                      </a:xfrm>
                    </wpg:grpSpPr>
                    <wps:wsp>
                      <wps:cNvPr id="2" name="Graphic 2"/>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3" name="Graphic 3"/>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318464" id="docshapegroup1" coordorigin="1633,737" coordsize="583,737">
              <v:shape style="position:absolute;left:1632;top:737;width:583;height:737" id="docshape2"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3"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998528">
              <wp:simplePos x="0" y="0"/>
              <wp:positionH relativeFrom="page">
                <wp:posOffset>744893</wp:posOffset>
              </wp:positionH>
              <wp:positionV relativeFrom="page">
                <wp:posOffset>468180</wp:posOffset>
              </wp:positionV>
              <wp:extent cx="58419" cy="55244"/>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317952" id="docshape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999040">
              <wp:simplePos x="0" y="0"/>
              <wp:positionH relativeFrom="page">
                <wp:posOffset>540463</wp:posOffset>
              </wp:positionH>
              <wp:positionV relativeFrom="page">
                <wp:posOffset>559107</wp:posOffset>
              </wp:positionV>
              <wp:extent cx="165735" cy="3740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317440" id="docshape5"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999552">
              <wp:simplePos x="0" y="0"/>
              <wp:positionH relativeFrom="page">
                <wp:posOffset>744880</wp:posOffset>
              </wp:positionH>
              <wp:positionV relativeFrom="page">
                <wp:posOffset>559116</wp:posOffset>
              </wp:positionV>
              <wp:extent cx="256540" cy="37719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316928" id="docshape6"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00064">
          <wp:simplePos x="0" y="0"/>
          <wp:positionH relativeFrom="page">
            <wp:posOffset>540463</wp:posOffset>
          </wp:positionH>
          <wp:positionV relativeFrom="page">
            <wp:posOffset>1059158</wp:posOffset>
          </wp:positionV>
          <wp:extent cx="937719" cy="33445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937719" cy="33445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1088">
              <wp:simplePos x="0" y="0"/>
              <wp:positionH relativeFrom="page">
                <wp:posOffset>1036912</wp:posOffset>
              </wp:positionH>
              <wp:positionV relativeFrom="page">
                <wp:posOffset>467994</wp:posOffset>
              </wp:positionV>
              <wp:extent cx="370205" cy="4679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70205" cy="467995"/>
                        <a:chExt cx="370205" cy="467995"/>
                      </a:xfrm>
                    </wpg:grpSpPr>
                    <wps:wsp>
                      <wps:cNvPr id="10" name="Graphic 10"/>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11" name="Graphic 11"/>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315392" id="docshapegroup7" coordorigin="1633,737" coordsize="583,737">
              <v:shape style="position:absolute;left:1632;top:737;width:583;height:737" id="docshape8"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9"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01600">
              <wp:simplePos x="0" y="0"/>
              <wp:positionH relativeFrom="page">
                <wp:posOffset>744893</wp:posOffset>
              </wp:positionH>
              <wp:positionV relativeFrom="page">
                <wp:posOffset>468180</wp:posOffset>
              </wp:positionV>
              <wp:extent cx="58419" cy="55244"/>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314880" id="docshape1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02112">
              <wp:simplePos x="0" y="0"/>
              <wp:positionH relativeFrom="page">
                <wp:posOffset>540463</wp:posOffset>
              </wp:positionH>
              <wp:positionV relativeFrom="page">
                <wp:posOffset>559107</wp:posOffset>
              </wp:positionV>
              <wp:extent cx="165735" cy="37401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314368" id="docshape11"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02624">
              <wp:simplePos x="0" y="0"/>
              <wp:positionH relativeFrom="page">
                <wp:posOffset>744880</wp:posOffset>
              </wp:positionH>
              <wp:positionV relativeFrom="page">
                <wp:posOffset>559116</wp:posOffset>
              </wp:positionV>
              <wp:extent cx="256540" cy="37719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313856" id="docshape12"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03136">
          <wp:simplePos x="0" y="0"/>
          <wp:positionH relativeFrom="page">
            <wp:posOffset>540463</wp:posOffset>
          </wp:positionH>
          <wp:positionV relativeFrom="page">
            <wp:posOffset>1059158</wp:posOffset>
          </wp:positionV>
          <wp:extent cx="937719" cy="33445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937719" cy="334455"/>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4160">
              <wp:simplePos x="0" y="0"/>
              <wp:positionH relativeFrom="page">
                <wp:posOffset>1036912</wp:posOffset>
              </wp:positionH>
              <wp:positionV relativeFrom="page">
                <wp:posOffset>467994</wp:posOffset>
              </wp:positionV>
              <wp:extent cx="370205" cy="4679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70205" cy="467995"/>
                        <a:chExt cx="370205" cy="467995"/>
                      </a:xfrm>
                    </wpg:grpSpPr>
                    <wps:wsp>
                      <wps:cNvPr id="21" name="Graphic 21"/>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22" name="Graphic 22"/>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312320" id="docshapegroup16" coordorigin="1633,737" coordsize="583,737">
              <v:shape style="position:absolute;left:1632;top:737;width:583;height:737" id="docshape17"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18"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04672">
              <wp:simplePos x="0" y="0"/>
              <wp:positionH relativeFrom="page">
                <wp:posOffset>744893</wp:posOffset>
              </wp:positionH>
              <wp:positionV relativeFrom="page">
                <wp:posOffset>468180</wp:posOffset>
              </wp:positionV>
              <wp:extent cx="58419" cy="55244"/>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311808" id="docshape1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05184">
              <wp:simplePos x="0" y="0"/>
              <wp:positionH relativeFrom="page">
                <wp:posOffset>540463</wp:posOffset>
              </wp:positionH>
              <wp:positionV relativeFrom="page">
                <wp:posOffset>559107</wp:posOffset>
              </wp:positionV>
              <wp:extent cx="165735" cy="37401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311296" id="docshape20"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05696">
              <wp:simplePos x="0" y="0"/>
              <wp:positionH relativeFrom="page">
                <wp:posOffset>744880</wp:posOffset>
              </wp:positionH>
              <wp:positionV relativeFrom="page">
                <wp:posOffset>559116</wp:posOffset>
              </wp:positionV>
              <wp:extent cx="256540" cy="37719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310784" id="docshape21"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06208">
          <wp:simplePos x="0" y="0"/>
          <wp:positionH relativeFrom="page">
            <wp:posOffset>540463</wp:posOffset>
          </wp:positionH>
          <wp:positionV relativeFrom="page">
            <wp:posOffset>1059158</wp:posOffset>
          </wp:positionV>
          <wp:extent cx="937719" cy="334455"/>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937719" cy="334455"/>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7232">
              <wp:simplePos x="0" y="0"/>
              <wp:positionH relativeFrom="page">
                <wp:posOffset>1036912</wp:posOffset>
              </wp:positionH>
              <wp:positionV relativeFrom="page">
                <wp:posOffset>467994</wp:posOffset>
              </wp:positionV>
              <wp:extent cx="370205" cy="46799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370205" cy="467995"/>
                        <a:chExt cx="370205" cy="467995"/>
                      </a:xfrm>
                    </wpg:grpSpPr>
                    <wps:wsp>
                      <wps:cNvPr id="35" name="Graphic 35"/>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36" name="Graphic 36"/>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309248" id="docshapegroup28" coordorigin="1633,737" coordsize="583,737">
              <v:shape style="position:absolute;left:1632;top:737;width:583;height:737" id="docshape29"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30"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07744">
              <wp:simplePos x="0" y="0"/>
              <wp:positionH relativeFrom="page">
                <wp:posOffset>744893</wp:posOffset>
              </wp:positionH>
              <wp:positionV relativeFrom="page">
                <wp:posOffset>468180</wp:posOffset>
              </wp:positionV>
              <wp:extent cx="58419" cy="55244"/>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308736" id="docshape3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08256">
              <wp:simplePos x="0" y="0"/>
              <wp:positionH relativeFrom="page">
                <wp:posOffset>540463</wp:posOffset>
              </wp:positionH>
              <wp:positionV relativeFrom="page">
                <wp:posOffset>559107</wp:posOffset>
              </wp:positionV>
              <wp:extent cx="165735" cy="37401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308224" id="docshape32"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08768">
              <wp:simplePos x="0" y="0"/>
              <wp:positionH relativeFrom="page">
                <wp:posOffset>744880</wp:posOffset>
              </wp:positionH>
              <wp:positionV relativeFrom="page">
                <wp:posOffset>559116</wp:posOffset>
              </wp:positionV>
              <wp:extent cx="256540" cy="37719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307712" id="docshape33"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09280">
          <wp:simplePos x="0" y="0"/>
          <wp:positionH relativeFrom="page">
            <wp:posOffset>540463</wp:posOffset>
          </wp:positionH>
          <wp:positionV relativeFrom="page">
            <wp:posOffset>1059158</wp:posOffset>
          </wp:positionV>
          <wp:extent cx="937719" cy="334455"/>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 cstate="print"/>
                  <a:stretch>
                    <a:fillRect/>
                  </a:stretch>
                </pic:blipFill>
                <pic:spPr>
                  <a:xfrm>
                    <a:off x="0" y="0"/>
                    <a:ext cx="937719" cy="3344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864" w:hanging="472"/>
        <w:jc w:val="righ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23" w:hanging="472"/>
      </w:pPr>
      <w:rPr>
        <w:rFonts w:hint="default"/>
        <w:lang w:val="pt-PT" w:eastAsia="en-US" w:bidi="ar-SA"/>
      </w:rPr>
    </w:lvl>
    <w:lvl w:ilvl="2">
      <w:start w:val="0"/>
      <w:numFmt w:val="bullet"/>
      <w:lvlText w:val="•"/>
      <w:lvlJc w:val="left"/>
      <w:pPr>
        <w:ind w:left="2786" w:hanging="472"/>
      </w:pPr>
      <w:rPr>
        <w:rFonts w:hint="default"/>
        <w:lang w:val="pt-PT" w:eastAsia="en-US" w:bidi="ar-SA"/>
      </w:rPr>
    </w:lvl>
    <w:lvl w:ilvl="3">
      <w:start w:val="0"/>
      <w:numFmt w:val="bullet"/>
      <w:lvlText w:val="•"/>
      <w:lvlJc w:val="left"/>
      <w:pPr>
        <w:ind w:left="3749" w:hanging="472"/>
      </w:pPr>
      <w:rPr>
        <w:rFonts w:hint="default"/>
        <w:lang w:val="pt-PT" w:eastAsia="en-US" w:bidi="ar-SA"/>
      </w:rPr>
    </w:lvl>
    <w:lvl w:ilvl="4">
      <w:start w:val="0"/>
      <w:numFmt w:val="bullet"/>
      <w:lvlText w:val="•"/>
      <w:lvlJc w:val="left"/>
      <w:pPr>
        <w:ind w:left="4712" w:hanging="472"/>
      </w:pPr>
      <w:rPr>
        <w:rFonts w:hint="default"/>
        <w:lang w:val="pt-PT" w:eastAsia="en-US" w:bidi="ar-SA"/>
      </w:rPr>
    </w:lvl>
    <w:lvl w:ilvl="5">
      <w:start w:val="0"/>
      <w:numFmt w:val="bullet"/>
      <w:lvlText w:val="•"/>
      <w:lvlJc w:val="left"/>
      <w:pPr>
        <w:ind w:left="5676" w:hanging="472"/>
      </w:pPr>
      <w:rPr>
        <w:rFonts w:hint="default"/>
        <w:lang w:val="pt-PT" w:eastAsia="en-US" w:bidi="ar-SA"/>
      </w:rPr>
    </w:lvl>
    <w:lvl w:ilvl="6">
      <w:start w:val="0"/>
      <w:numFmt w:val="bullet"/>
      <w:lvlText w:val="•"/>
      <w:lvlJc w:val="left"/>
      <w:pPr>
        <w:ind w:left="6639" w:hanging="472"/>
      </w:pPr>
      <w:rPr>
        <w:rFonts w:hint="default"/>
        <w:lang w:val="pt-PT" w:eastAsia="en-US" w:bidi="ar-SA"/>
      </w:rPr>
    </w:lvl>
    <w:lvl w:ilvl="7">
      <w:start w:val="0"/>
      <w:numFmt w:val="bullet"/>
      <w:lvlText w:val="•"/>
      <w:lvlJc w:val="left"/>
      <w:pPr>
        <w:ind w:left="7602" w:hanging="472"/>
      </w:pPr>
      <w:rPr>
        <w:rFonts w:hint="default"/>
        <w:lang w:val="pt-PT" w:eastAsia="en-US" w:bidi="ar-SA"/>
      </w:rPr>
    </w:lvl>
    <w:lvl w:ilvl="8">
      <w:start w:val="0"/>
      <w:numFmt w:val="bullet"/>
      <w:lvlText w:val="•"/>
      <w:lvlJc w:val="left"/>
      <w:pPr>
        <w:ind w:left="8565" w:hanging="472"/>
      </w:pPr>
      <w:rPr>
        <w:rFonts w:hint="default"/>
        <w:lang w:val="pt-PT" w:eastAsia="en-US" w:bidi="ar-SA"/>
      </w:rPr>
    </w:lvl>
  </w:abstractNum>
  <w:abstractNum w:abstractNumId="3">
    <w:multiLevelType w:val="hybridMultilevel"/>
    <w:lvl w:ilvl="0">
      <w:start w:val="1"/>
      <w:numFmt w:val="upperRoman"/>
      <w:lvlText w:val="%1."/>
      <w:lvlJc w:val="left"/>
      <w:pPr>
        <w:ind w:left="864" w:hanging="472"/>
        <w:jc w:val="righ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23" w:hanging="472"/>
      </w:pPr>
      <w:rPr>
        <w:rFonts w:hint="default"/>
        <w:lang w:val="pt-PT" w:eastAsia="en-US" w:bidi="ar-SA"/>
      </w:rPr>
    </w:lvl>
    <w:lvl w:ilvl="2">
      <w:start w:val="0"/>
      <w:numFmt w:val="bullet"/>
      <w:lvlText w:val="•"/>
      <w:lvlJc w:val="left"/>
      <w:pPr>
        <w:ind w:left="2786" w:hanging="472"/>
      </w:pPr>
      <w:rPr>
        <w:rFonts w:hint="default"/>
        <w:lang w:val="pt-PT" w:eastAsia="en-US" w:bidi="ar-SA"/>
      </w:rPr>
    </w:lvl>
    <w:lvl w:ilvl="3">
      <w:start w:val="0"/>
      <w:numFmt w:val="bullet"/>
      <w:lvlText w:val="•"/>
      <w:lvlJc w:val="left"/>
      <w:pPr>
        <w:ind w:left="3749" w:hanging="472"/>
      </w:pPr>
      <w:rPr>
        <w:rFonts w:hint="default"/>
        <w:lang w:val="pt-PT" w:eastAsia="en-US" w:bidi="ar-SA"/>
      </w:rPr>
    </w:lvl>
    <w:lvl w:ilvl="4">
      <w:start w:val="0"/>
      <w:numFmt w:val="bullet"/>
      <w:lvlText w:val="•"/>
      <w:lvlJc w:val="left"/>
      <w:pPr>
        <w:ind w:left="4712" w:hanging="472"/>
      </w:pPr>
      <w:rPr>
        <w:rFonts w:hint="default"/>
        <w:lang w:val="pt-PT" w:eastAsia="en-US" w:bidi="ar-SA"/>
      </w:rPr>
    </w:lvl>
    <w:lvl w:ilvl="5">
      <w:start w:val="0"/>
      <w:numFmt w:val="bullet"/>
      <w:lvlText w:val="•"/>
      <w:lvlJc w:val="left"/>
      <w:pPr>
        <w:ind w:left="5676" w:hanging="472"/>
      </w:pPr>
      <w:rPr>
        <w:rFonts w:hint="default"/>
        <w:lang w:val="pt-PT" w:eastAsia="en-US" w:bidi="ar-SA"/>
      </w:rPr>
    </w:lvl>
    <w:lvl w:ilvl="6">
      <w:start w:val="0"/>
      <w:numFmt w:val="bullet"/>
      <w:lvlText w:val="•"/>
      <w:lvlJc w:val="left"/>
      <w:pPr>
        <w:ind w:left="6639" w:hanging="472"/>
      </w:pPr>
      <w:rPr>
        <w:rFonts w:hint="default"/>
        <w:lang w:val="pt-PT" w:eastAsia="en-US" w:bidi="ar-SA"/>
      </w:rPr>
    </w:lvl>
    <w:lvl w:ilvl="7">
      <w:start w:val="0"/>
      <w:numFmt w:val="bullet"/>
      <w:lvlText w:val="•"/>
      <w:lvlJc w:val="left"/>
      <w:pPr>
        <w:ind w:left="7602" w:hanging="472"/>
      </w:pPr>
      <w:rPr>
        <w:rFonts w:hint="default"/>
        <w:lang w:val="pt-PT" w:eastAsia="en-US" w:bidi="ar-SA"/>
      </w:rPr>
    </w:lvl>
    <w:lvl w:ilvl="8">
      <w:start w:val="0"/>
      <w:numFmt w:val="bullet"/>
      <w:lvlText w:val="•"/>
      <w:lvlJc w:val="left"/>
      <w:pPr>
        <w:ind w:left="8565" w:hanging="472"/>
      </w:pPr>
      <w:rPr>
        <w:rFonts w:hint="default"/>
        <w:lang w:val="pt-PT" w:eastAsia="en-US" w:bidi="ar-SA"/>
      </w:rPr>
    </w:lvl>
  </w:abstractNum>
  <w:abstractNum w:abstractNumId="2">
    <w:multiLevelType w:val="hybridMultilevel"/>
    <w:lvl w:ilvl="0">
      <w:start w:val="1"/>
      <w:numFmt w:val="decimal"/>
      <w:lvlText w:val="%1."/>
      <w:lvlJc w:val="left"/>
      <w:pPr>
        <w:ind w:left="864" w:hanging="36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23" w:hanging="360"/>
      </w:pPr>
      <w:rPr>
        <w:rFonts w:hint="default"/>
        <w:lang w:val="pt-PT" w:eastAsia="en-US" w:bidi="ar-SA"/>
      </w:rPr>
    </w:lvl>
    <w:lvl w:ilvl="2">
      <w:start w:val="0"/>
      <w:numFmt w:val="bullet"/>
      <w:lvlText w:val="•"/>
      <w:lvlJc w:val="left"/>
      <w:pPr>
        <w:ind w:left="2786" w:hanging="360"/>
      </w:pPr>
      <w:rPr>
        <w:rFonts w:hint="default"/>
        <w:lang w:val="pt-PT" w:eastAsia="en-US" w:bidi="ar-SA"/>
      </w:rPr>
    </w:lvl>
    <w:lvl w:ilvl="3">
      <w:start w:val="0"/>
      <w:numFmt w:val="bullet"/>
      <w:lvlText w:val="•"/>
      <w:lvlJc w:val="left"/>
      <w:pPr>
        <w:ind w:left="3749" w:hanging="360"/>
      </w:pPr>
      <w:rPr>
        <w:rFonts w:hint="default"/>
        <w:lang w:val="pt-PT" w:eastAsia="en-US" w:bidi="ar-SA"/>
      </w:rPr>
    </w:lvl>
    <w:lvl w:ilvl="4">
      <w:start w:val="0"/>
      <w:numFmt w:val="bullet"/>
      <w:lvlText w:val="•"/>
      <w:lvlJc w:val="left"/>
      <w:pPr>
        <w:ind w:left="4712" w:hanging="360"/>
      </w:pPr>
      <w:rPr>
        <w:rFonts w:hint="default"/>
        <w:lang w:val="pt-PT" w:eastAsia="en-US" w:bidi="ar-SA"/>
      </w:rPr>
    </w:lvl>
    <w:lvl w:ilvl="5">
      <w:start w:val="0"/>
      <w:numFmt w:val="bullet"/>
      <w:lvlText w:val="•"/>
      <w:lvlJc w:val="left"/>
      <w:pPr>
        <w:ind w:left="5676" w:hanging="360"/>
      </w:pPr>
      <w:rPr>
        <w:rFonts w:hint="default"/>
        <w:lang w:val="pt-PT" w:eastAsia="en-US" w:bidi="ar-SA"/>
      </w:rPr>
    </w:lvl>
    <w:lvl w:ilvl="6">
      <w:start w:val="0"/>
      <w:numFmt w:val="bullet"/>
      <w:lvlText w:val="•"/>
      <w:lvlJc w:val="left"/>
      <w:pPr>
        <w:ind w:left="6639" w:hanging="360"/>
      </w:pPr>
      <w:rPr>
        <w:rFonts w:hint="default"/>
        <w:lang w:val="pt-PT" w:eastAsia="en-US" w:bidi="ar-SA"/>
      </w:rPr>
    </w:lvl>
    <w:lvl w:ilvl="7">
      <w:start w:val="0"/>
      <w:numFmt w:val="bullet"/>
      <w:lvlText w:val="•"/>
      <w:lvlJc w:val="left"/>
      <w:pPr>
        <w:ind w:left="7602" w:hanging="360"/>
      </w:pPr>
      <w:rPr>
        <w:rFonts w:hint="default"/>
        <w:lang w:val="pt-PT" w:eastAsia="en-US" w:bidi="ar-SA"/>
      </w:rPr>
    </w:lvl>
    <w:lvl w:ilvl="8">
      <w:start w:val="0"/>
      <w:numFmt w:val="bullet"/>
      <w:lvlText w:val="•"/>
      <w:lvlJc w:val="left"/>
      <w:pPr>
        <w:ind w:left="8565" w:hanging="360"/>
      </w:pPr>
      <w:rPr>
        <w:rFonts w:hint="default"/>
        <w:lang w:val="pt-PT" w:eastAsia="en-US" w:bidi="ar-SA"/>
      </w:rPr>
    </w:lvl>
  </w:abstractNum>
  <w:abstractNum w:abstractNumId="1">
    <w:multiLevelType w:val="hybridMultilevel"/>
    <w:lvl w:ilvl="0">
      <w:start w:val="0"/>
      <w:numFmt w:val="bullet"/>
      <w:lvlText w:val="•"/>
      <w:lvlJc w:val="left"/>
      <w:pPr>
        <w:ind w:left="144" w:hanging="156"/>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75" w:hanging="156"/>
      </w:pPr>
      <w:rPr>
        <w:rFonts w:hint="default"/>
        <w:lang w:val="pt-PT" w:eastAsia="en-US" w:bidi="ar-SA"/>
      </w:rPr>
    </w:lvl>
    <w:lvl w:ilvl="2">
      <w:start w:val="0"/>
      <w:numFmt w:val="bullet"/>
      <w:lvlText w:val="•"/>
      <w:lvlJc w:val="left"/>
      <w:pPr>
        <w:ind w:left="2210" w:hanging="156"/>
      </w:pPr>
      <w:rPr>
        <w:rFonts w:hint="default"/>
        <w:lang w:val="pt-PT" w:eastAsia="en-US" w:bidi="ar-SA"/>
      </w:rPr>
    </w:lvl>
    <w:lvl w:ilvl="3">
      <w:start w:val="0"/>
      <w:numFmt w:val="bullet"/>
      <w:lvlText w:val="•"/>
      <w:lvlJc w:val="left"/>
      <w:pPr>
        <w:ind w:left="3245" w:hanging="156"/>
      </w:pPr>
      <w:rPr>
        <w:rFonts w:hint="default"/>
        <w:lang w:val="pt-PT" w:eastAsia="en-US" w:bidi="ar-SA"/>
      </w:rPr>
    </w:lvl>
    <w:lvl w:ilvl="4">
      <w:start w:val="0"/>
      <w:numFmt w:val="bullet"/>
      <w:lvlText w:val="•"/>
      <w:lvlJc w:val="left"/>
      <w:pPr>
        <w:ind w:left="4280" w:hanging="156"/>
      </w:pPr>
      <w:rPr>
        <w:rFonts w:hint="default"/>
        <w:lang w:val="pt-PT" w:eastAsia="en-US" w:bidi="ar-SA"/>
      </w:rPr>
    </w:lvl>
    <w:lvl w:ilvl="5">
      <w:start w:val="0"/>
      <w:numFmt w:val="bullet"/>
      <w:lvlText w:val="•"/>
      <w:lvlJc w:val="left"/>
      <w:pPr>
        <w:ind w:left="5316" w:hanging="156"/>
      </w:pPr>
      <w:rPr>
        <w:rFonts w:hint="default"/>
        <w:lang w:val="pt-PT" w:eastAsia="en-US" w:bidi="ar-SA"/>
      </w:rPr>
    </w:lvl>
    <w:lvl w:ilvl="6">
      <w:start w:val="0"/>
      <w:numFmt w:val="bullet"/>
      <w:lvlText w:val="•"/>
      <w:lvlJc w:val="left"/>
      <w:pPr>
        <w:ind w:left="6351" w:hanging="156"/>
      </w:pPr>
      <w:rPr>
        <w:rFonts w:hint="default"/>
        <w:lang w:val="pt-PT" w:eastAsia="en-US" w:bidi="ar-SA"/>
      </w:rPr>
    </w:lvl>
    <w:lvl w:ilvl="7">
      <w:start w:val="0"/>
      <w:numFmt w:val="bullet"/>
      <w:lvlText w:val="•"/>
      <w:lvlJc w:val="left"/>
      <w:pPr>
        <w:ind w:left="7386" w:hanging="156"/>
      </w:pPr>
      <w:rPr>
        <w:rFonts w:hint="default"/>
        <w:lang w:val="pt-PT" w:eastAsia="en-US" w:bidi="ar-SA"/>
      </w:rPr>
    </w:lvl>
    <w:lvl w:ilvl="8">
      <w:start w:val="0"/>
      <w:numFmt w:val="bullet"/>
      <w:lvlText w:val="•"/>
      <w:lvlJc w:val="left"/>
      <w:pPr>
        <w:ind w:left="8421" w:hanging="156"/>
      </w:pPr>
      <w:rPr>
        <w:rFonts w:hint="default"/>
        <w:lang w:val="pt-PT" w:eastAsia="en-US" w:bidi="ar-SA"/>
      </w:rPr>
    </w:lvl>
  </w:abstractNum>
  <w:abstractNum w:abstractNumId="0">
    <w:multiLevelType w:val="hybridMultilevel"/>
    <w:lvl w:ilvl="0">
      <w:start w:val="1"/>
      <w:numFmt w:val="decimal"/>
      <w:lvlText w:val="%1"/>
      <w:lvlJc w:val="left"/>
      <w:pPr>
        <w:ind w:left="320" w:hanging="176"/>
        <w:jc w:val="left"/>
      </w:pPr>
      <w:rPr>
        <w:rFonts w:hint="default" w:ascii="Calibri" w:hAnsi="Calibri" w:eastAsia="Calibri" w:cs="Calibri"/>
        <w:b/>
        <w:bCs/>
        <w:i w:val="0"/>
        <w:iCs w:val="0"/>
        <w:spacing w:val="0"/>
        <w:w w:val="100"/>
        <w:sz w:val="24"/>
        <w:szCs w:val="24"/>
        <w:lang w:val="pt-PT" w:eastAsia="en-US" w:bidi="ar-SA"/>
      </w:rPr>
    </w:lvl>
    <w:lvl w:ilvl="1">
      <w:start w:val="1"/>
      <w:numFmt w:val="decimal"/>
      <w:lvlText w:val="%1.%2"/>
      <w:lvlJc w:val="left"/>
      <w:pPr>
        <w:ind w:left="476" w:hanging="332"/>
        <w:jc w:val="left"/>
      </w:pPr>
      <w:rPr>
        <w:rFonts w:hint="default" w:ascii="Calibri" w:hAnsi="Calibri" w:eastAsia="Calibri" w:cs="Calibri"/>
        <w:b/>
        <w:bCs/>
        <w:i w:val="0"/>
        <w:iCs w:val="0"/>
        <w:spacing w:val="-1"/>
        <w:w w:val="100"/>
        <w:sz w:val="22"/>
        <w:szCs w:val="22"/>
        <w:lang w:val="pt-PT" w:eastAsia="en-US" w:bidi="ar-SA"/>
      </w:rPr>
    </w:lvl>
    <w:lvl w:ilvl="2">
      <w:start w:val="1"/>
      <w:numFmt w:val="decimal"/>
      <w:lvlText w:val="%1.%2.%3"/>
      <w:lvlJc w:val="left"/>
      <w:pPr>
        <w:ind w:left="648" w:hanging="504"/>
        <w:jc w:val="left"/>
      </w:pPr>
      <w:rPr>
        <w:rFonts w:hint="default" w:ascii="Calibri" w:hAnsi="Calibri" w:eastAsia="Calibri" w:cs="Calibri"/>
        <w:b/>
        <w:bCs/>
        <w:i w:val="0"/>
        <w:iCs w:val="0"/>
        <w:spacing w:val="-1"/>
        <w:w w:val="100"/>
        <w:sz w:val="22"/>
        <w:szCs w:val="22"/>
        <w:lang w:val="pt-PT" w:eastAsia="en-US" w:bidi="ar-SA"/>
      </w:rPr>
    </w:lvl>
    <w:lvl w:ilvl="3">
      <w:start w:val="1"/>
      <w:numFmt w:val="upperRoman"/>
      <w:lvlText w:val="%4."/>
      <w:lvlJc w:val="left"/>
      <w:pPr>
        <w:ind w:left="864" w:hanging="472"/>
        <w:jc w:val="right"/>
      </w:pPr>
      <w:rPr>
        <w:rFonts w:hint="default" w:ascii="Calibri" w:hAnsi="Calibri" w:eastAsia="Calibri" w:cs="Calibri"/>
        <w:b w:val="0"/>
        <w:bCs w:val="0"/>
        <w:i w:val="0"/>
        <w:iCs w:val="0"/>
        <w:spacing w:val="0"/>
        <w:w w:val="100"/>
        <w:sz w:val="22"/>
        <w:szCs w:val="22"/>
        <w:lang w:val="pt-PT" w:eastAsia="en-US" w:bidi="ar-SA"/>
      </w:rPr>
    </w:lvl>
    <w:lvl w:ilvl="4">
      <w:start w:val="0"/>
      <w:numFmt w:val="bullet"/>
      <w:lvlText w:val="•"/>
      <w:lvlJc w:val="left"/>
      <w:pPr>
        <w:ind w:left="2236" w:hanging="472"/>
      </w:pPr>
      <w:rPr>
        <w:rFonts w:hint="default"/>
        <w:lang w:val="pt-PT" w:eastAsia="en-US" w:bidi="ar-SA"/>
      </w:rPr>
    </w:lvl>
    <w:lvl w:ilvl="5">
      <w:start w:val="0"/>
      <w:numFmt w:val="bullet"/>
      <w:lvlText w:val="•"/>
      <w:lvlJc w:val="left"/>
      <w:pPr>
        <w:ind w:left="3612" w:hanging="472"/>
      </w:pPr>
      <w:rPr>
        <w:rFonts w:hint="default"/>
        <w:lang w:val="pt-PT" w:eastAsia="en-US" w:bidi="ar-SA"/>
      </w:rPr>
    </w:lvl>
    <w:lvl w:ilvl="6">
      <w:start w:val="0"/>
      <w:numFmt w:val="bullet"/>
      <w:lvlText w:val="•"/>
      <w:lvlJc w:val="left"/>
      <w:pPr>
        <w:ind w:left="4988" w:hanging="472"/>
      </w:pPr>
      <w:rPr>
        <w:rFonts w:hint="default"/>
        <w:lang w:val="pt-PT" w:eastAsia="en-US" w:bidi="ar-SA"/>
      </w:rPr>
    </w:lvl>
    <w:lvl w:ilvl="7">
      <w:start w:val="0"/>
      <w:numFmt w:val="bullet"/>
      <w:lvlText w:val="•"/>
      <w:lvlJc w:val="left"/>
      <w:pPr>
        <w:ind w:left="6364" w:hanging="472"/>
      </w:pPr>
      <w:rPr>
        <w:rFonts w:hint="default"/>
        <w:lang w:val="pt-PT" w:eastAsia="en-US" w:bidi="ar-SA"/>
      </w:rPr>
    </w:lvl>
    <w:lvl w:ilvl="8">
      <w:start w:val="0"/>
      <w:numFmt w:val="bullet"/>
      <w:lvlText w:val="•"/>
      <w:lvlJc w:val="left"/>
      <w:pPr>
        <w:ind w:left="7740" w:hanging="472"/>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319" w:hanging="175"/>
      <w:jc w:val="both"/>
      <w:outlineLvl w:val="1"/>
    </w:pPr>
    <w:rPr>
      <w:rFonts w:ascii="Calibri" w:hAnsi="Calibri" w:eastAsia="Calibri" w:cs="Calibri"/>
      <w:b/>
      <w:bCs/>
      <w:sz w:val="24"/>
      <w:szCs w:val="24"/>
      <w:lang w:val="pt-PT" w:eastAsia="en-US" w:bidi="ar-SA"/>
    </w:rPr>
  </w:style>
  <w:style w:styleId="Heading2" w:type="paragraph">
    <w:name w:val="Heading 2"/>
    <w:basedOn w:val="Normal"/>
    <w:uiPriority w:val="1"/>
    <w:qFormat/>
    <w:pPr>
      <w:ind w:left="144"/>
      <w:outlineLvl w:val="2"/>
    </w:pPr>
    <w:rPr>
      <w:rFonts w:ascii="Calibri" w:hAnsi="Calibri" w:eastAsia="Calibri" w:cs="Calibri"/>
      <w:b/>
      <w:bCs/>
      <w:sz w:val="22"/>
      <w:szCs w:val="22"/>
      <w:lang w:val="pt-PT" w:eastAsia="en-US" w:bidi="ar-SA"/>
    </w:rPr>
  </w:style>
  <w:style w:styleId="Title" w:type="paragraph">
    <w:name w:val="Title"/>
    <w:basedOn w:val="Normal"/>
    <w:uiPriority w:val="1"/>
    <w:qFormat/>
    <w:pPr>
      <w:ind w:left="3145" w:right="2391" w:firstLine="176"/>
    </w:pPr>
    <w:rPr>
      <w:rFonts w:ascii="Calibri" w:hAnsi="Calibri" w:eastAsia="Calibri" w:cs="Calibri"/>
      <w:b/>
      <w:bCs/>
      <w:sz w:val="32"/>
      <w:szCs w:val="32"/>
      <w:lang w:val="pt-PT" w:eastAsia="en-US" w:bidi="ar-SA"/>
    </w:rPr>
  </w:style>
  <w:style w:styleId="ListParagraph" w:type="paragraph">
    <w:name w:val="List Paragraph"/>
    <w:basedOn w:val="Normal"/>
    <w:uiPriority w:val="1"/>
    <w:qFormat/>
    <w:pPr>
      <w:ind w:left="864" w:hanging="175"/>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cetic.br/media/microdados/256/ticdom_2019_relatorio_" TargetMode="Externa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yperlink" Target="http://www.cetic.br/" TargetMode="External"/><Relationship Id="rId15" Type="http://schemas.openxmlformats.org/officeDocument/2006/relationships/hyperlink" Target="http://www.itu.int/dms_pub/itu-d/opb/ind/D-IND-"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2025-10-10T20:16:56Z</dcterms:created>
  <dcterms:modified xsi:type="dcterms:W3CDTF">2025-10-10T20:16:56Z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