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EB70C" w14:textId="3ECEDCF3" w:rsidR="00EB56D5" w:rsidRPr="00CB681B" w:rsidRDefault="00B956FB" w:rsidP="00412577">
      <w:pPr>
        <w:spacing w:after="0"/>
        <w:rPr>
          <w:b/>
          <w:bCs/>
          <w:sz w:val="32"/>
          <w:szCs w:val="32"/>
          <w:lang w:val="en-US"/>
        </w:rPr>
      </w:pPr>
      <w:r>
        <w:rPr>
          <w:b/>
          <w:bCs/>
          <w:sz w:val="32"/>
          <w:szCs w:val="32"/>
          <w:lang w:val="en-US"/>
        </w:rPr>
        <w:t>&lt;1&gt;Methodological Report</w:t>
      </w:r>
    </w:p>
    <w:p w14:paraId="67211DE6" w14:textId="0EE49577" w:rsidR="00EB56D5" w:rsidRPr="00CB681B" w:rsidRDefault="00B956FB" w:rsidP="00412577">
      <w:pPr>
        <w:spacing w:after="0"/>
        <w:rPr>
          <w:b/>
          <w:bCs/>
          <w:sz w:val="32"/>
          <w:szCs w:val="32"/>
          <w:lang w:val="en-US"/>
        </w:rPr>
      </w:pPr>
      <w:r w:rsidRPr="00325305">
        <w:rPr>
          <w:b/>
          <w:bCs/>
          <w:sz w:val="32"/>
          <w:szCs w:val="32"/>
          <w:lang w:val="en-US"/>
        </w:rPr>
        <w:t xml:space="preserve">ICT </w:t>
      </w:r>
      <w:r w:rsidR="004D65F9">
        <w:rPr>
          <w:b/>
          <w:bCs/>
          <w:sz w:val="32"/>
          <w:szCs w:val="32"/>
          <w:lang w:val="en-US"/>
        </w:rPr>
        <w:t>P</w:t>
      </w:r>
      <w:r w:rsidRPr="00325305">
        <w:rPr>
          <w:b/>
          <w:bCs/>
          <w:sz w:val="32"/>
          <w:szCs w:val="32"/>
          <w:lang w:val="en-US"/>
        </w:rPr>
        <w:t>anel</w:t>
      </w:r>
    </w:p>
    <w:p w14:paraId="7C84F8E3" w14:textId="77777777" w:rsidR="00EB56D5" w:rsidRPr="00CB681B" w:rsidRDefault="00EB56D5" w:rsidP="00EB56D5">
      <w:pPr>
        <w:jc w:val="both"/>
        <w:rPr>
          <w:lang w:val="en-US"/>
        </w:rPr>
      </w:pPr>
    </w:p>
    <w:p w14:paraId="144D11BB" w14:textId="77777777" w:rsidR="00EB56D5" w:rsidRPr="00CB681B" w:rsidRDefault="00B956FB" w:rsidP="00EB56D5">
      <w:pPr>
        <w:jc w:val="both"/>
        <w:rPr>
          <w:b/>
          <w:bCs/>
          <w:sz w:val="24"/>
          <w:szCs w:val="24"/>
          <w:lang w:val="en-US"/>
        </w:rPr>
      </w:pPr>
      <w:r w:rsidRPr="00412577">
        <w:rPr>
          <w:b/>
          <w:bCs/>
          <w:sz w:val="24"/>
          <w:szCs w:val="24"/>
          <w:lang w:val="en-US"/>
        </w:rPr>
        <w:t>&lt;2&gt;Introduction</w:t>
      </w:r>
    </w:p>
    <w:p w14:paraId="6BADF0BF" w14:textId="18BCA830" w:rsidR="00EB56D5" w:rsidRPr="00CB681B" w:rsidRDefault="00B956FB" w:rsidP="00EB56D5">
      <w:pPr>
        <w:jc w:val="both"/>
        <w:rPr>
          <w:lang w:val="en-US"/>
        </w:rPr>
      </w:pPr>
      <w:r>
        <w:rPr>
          <w:lang w:val="en-US"/>
        </w:rPr>
        <w:t xml:space="preserve">The Brazilian Internet Steering Committee (CGI.br), through the Regional Center for Studies on the Development of the Information Society (Cetic.br), </w:t>
      </w:r>
      <w:r w:rsidR="00F26F6A">
        <w:rPr>
          <w:lang w:val="en-US"/>
        </w:rPr>
        <w:t>a d</w:t>
      </w:r>
      <w:r>
        <w:rPr>
          <w:lang w:val="en-US"/>
        </w:rPr>
        <w:t xml:space="preserve">epartment of the Brazilian Network Information Center (NIC.br), presents the methodology of the </w:t>
      </w:r>
      <w:r w:rsidR="003549E5">
        <w:rPr>
          <w:lang w:val="en-US"/>
        </w:rPr>
        <w:t>ICT Panel s</w:t>
      </w:r>
      <w:r>
        <w:rPr>
          <w:lang w:val="en-US"/>
        </w:rPr>
        <w:t>urvey with Brazilian Internet users.</w:t>
      </w:r>
    </w:p>
    <w:p w14:paraId="0AF9C9F9" w14:textId="24E683E4" w:rsidR="008B5A1E" w:rsidRPr="00CB681B" w:rsidRDefault="00B956FB" w:rsidP="008B5A1E">
      <w:pPr>
        <w:jc w:val="both"/>
        <w:rPr>
          <w:lang w:val="en-US"/>
        </w:rPr>
      </w:pPr>
      <w:r>
        <w:rPr>
          <w:lang w:val="en-US"/>
        </w:rPr>
        <w:t>The COVID-19 pandemic</w:t>
      </w:r>
      <w:r w:rsidR="00F26F6A">
        <w:rPr>
          <w:lang w:val="en-US"/>
        </w:rPr>
        <w:t xml:space="preserve"> </w:t>
      </w:r>
      <w:r>
        <w:rPr>
          <w:lang w:val="en-US"/>
        </w:rPr>
        <w:t>has substantially affected the work of national statistical institutes and other data producers around the world, particularly among Latin American countries. In response, the Cetic.br</w:t>
      </w:r>
      <w:r w:rsidR="00F26F6A">
        <w:rPr>
          <w:lang w:val="en-US"/>
        </w:rPr>
        <w:t>|</w:t>
      </w:r>
      <w:r>
        <w:rPr>
          <w:lang w:val="en-US"/>
        </w:rPr>
        <w:t xml:space="preserve">NIC.br innovated in the production of indicators using web panel surveys. </w:t>
      </w:r>
    </w:p>
    <w:p w14:paraId="2BC60F3A" w14:textId="60A30E64" w:rsidR="00EB56D5" w:rsidRPr="00CB681B" w:rsidRDefault="00B956FB" w:rsidP="008B5A1E">
      <w:pPr>
        <w:jc w:val="both"/>
        <w:rPr>
          <w:lang w:val="en-US"/>
        </w:rPr>
      </w:pPr>
      <w:r>
        <w:rPr>
          <w:lang w:val="en-US"/>
        </w:rPr>
        <w:t xml:space="preserve">This experience proved to be very relevant, and from 2021 on this panel became a new form of investigation used by Cetic.br|NIC.br in the production of statistics </w:t>
      </w:r>
      <w:bookmarkStart w:id="0" w:name="_Hlk162426398"/>
      <w:r>
        <w:rPr>
          <w:lang w:val="en-US"/>
        </w:rPr>
        <w:t xml:space="preserve">about </w:t>
      </w:r>
      <w:bookmarkStart w:id="1" w:name="_Hlk162426149"/>
      <w:r>
        <w:rPr>
          <w:lang w:val="en-US"/>
        </w:rPr>
        <w:t>information and communication technologies</w:t>
      </w:r>
      <w:bookmarkEnd w:id="0"/>
      <w:bookmarkEnd w:id="1"/>
      <w:r>
        <w:rPr>
          <w:lang w:val="en-US"/>
        </w:rPr>
        <w:t xml:space="preserve"> (ICT) for Internet users. This new survey tool will allow more regular monitoring of indicators</w:t>
      </w:r>
      <w:r w:rsidR="000F5C8E">
        <w:rPr>
          <w:lang w:val="en-US"/>
        </w:rPr>
        <w:t xml:space="preserve"> on the current scenario</w:t>
      </w:r>
      <w:r>
        <w:rPr>
          <w:lang w:val="en-US"/>
        </w:rPr>
        <w:t xml:space="preserve"> and the evaluation and collection of information on new topics and aspects of Internet use in Brazil.</w:t>
      </w:r>
    </w:p>
    <w:p w14:paraId="6D55C257" w14:textId="3539DC4F" w:rsidR="00EB56D5" w:rsidRPr="00CB681B" w:rsidRDefault="00B956FB" w:rsidP="00EB56D5">
      <w:pPr>
        <w:jc w:val="both"/>
        <w:rPr>
          <w:b/>
          <w:bCs/>
          <w:sz w:val="24"/>
          <w:szCs w:val="24"/>
          <w:lang w:val="en-US"/>
        </w:rPr>
      </w:pPr>
      <w:r w:rsidRPr="00412577">
        <w:rPr>
          <w:b/>
          <w:bCs/>
          <w:sz w:val="24"/>
          <w:szCs w:val="24"/>
          <w:lang w:val="en-US"/>
        </w:rPr>
        <w:t>&lt;2&gt;Survey objectives</w:t>
      </w:r>
    </w:p>
    <w:p w14:paraId="0E0D714E" w14:textId="77777777" w:rsidR="00EB56D5" w:rsidRPr="00CB681B" w:rsidRDefault="00B956FB" w:rsidP="00EB56D5">
      <w:pPr>
        <w:jc w:val="both"/>
        <w:rPr>
          <w:lang w:val="en-US"/>
        </w:rPr>
      </w:pPr>
      <w:r>
        <w:rPr>
          <w:lang w:val="en-US"/>
        </w:rPr>
        <w:t>The ICT Panel aims to collect information on topics associated with the use of technologies by Internet users across Brazil.</w:t>
      </w:r>
    </w:p>
    <w:p w14:paraId="5541B268" w14:textId="361C6F9F" w:rsidR="00EB56D5" w:rsidRPr="00CB681B" w:rsidRDefault="00B956FB" w:rsidP="00EB56D5">
      <w:pPr>
        <w:jc w:val="both"/>
        <w:rPr>
          <w:b/>
          <w:bCs/>
          <w:sz w:val="24"/>
          <w:szCs w:val="24"/>
          <w:lang w:val="en-US"/>
        </w:rPr>
      </w:pPr>
      <w:r w:rsidRPr="00412577">
        <w:rPr>
          <w:b/>
          <w:bCs/>
          <w:sz w:val="24"/>
          <w:szCs w:val="24"/>
          <w:lang w:val="en-US"/>
        </w:rPr>
        <w:t>&lt;2&gt;Target population</w:t>
      </w:r>
    </w:p>
    <w:p w14:paraId="5466248F" w14:textId="6A6BFD53" w:rsidR="00EB56D5" w:rsidRPr="00CB681B" w:rsidRDefault="00B956FB" w:rsidP="00EB56D5">
      <w:pPr>
        <w:jc w:val="both"/>
        <w:rPr>
          <w:lang w:val="en-US"/>
        </w:rPr>
      </w:pPr>
      <w:r>
        <w:rPr>
          <w:lang w:val="en-US"/>
        </w:rPr>
        <w:t xml:space="preserve">The target population of the survey is </w:t>
      </w:r>
      <w:r w:rsidR="001F3488">
        <w:rPr>
          <w:lang w:val="en-US"/>
        </w:rPr>
        <w:t>made up</w:t>
      </w:r>
      <w:r w:rsidR="001F3488">
        <w:rPr>
          <w:lang w:val="en-US"/>
        </w:rPr>
        <w:t xml:space="preserve"> </w:t>
      </w:r>
      <w:r>
        <w:rPr>
          <w:lang w:val="en-US"/>
        </w:rPr>
        <w:t xml:space="preserve">of Internet users 16 years </w:t>
      </w:r>
      <w:r w:rsidR="00931D7D">
        <w:rPr>
          <w:lang w:val="en-US"/>
        </w:rPr>
        <w:t xml:space="preserve">old </w:t>
      </w:r>
      <w:r>
        <w:rPr>
          <w:lang w:val="en-US"/>
        </w:rPr>
        <w:t xml:space="preserve">or older in Brazil. Internet users </w:t>
      </w:r>
      <w:proofErr w:type="gramStart"/>
      <w:r>
        <w:rPr>
          <w:lang w:val="en-US"/>
        </w:rPr>
        <w:t>are considered to be</w:t>
      </w:r>
      <w:proofErr w:type="gramEnd"/>
      <w:r>
        <w:rPr>
          <w:lang w:val="en-US"/>
        </w:rPr>
        <w:t xml:space="preserve"> individuals who have used the Internet in the three months prior to the interview, according to the methodological recommendation of the International Telecommunication Union (ITU, 2014).</w:t>
      </w:r>
    </w:p>
    <w:p w14:paraId="17B271C1" w14:textId="77777777" w:rsidR="00EB56D5" w:rsidRPr="00CB681B" w:rsidRDefault="00B956FB" w:rsidP="00EB56D5">
      <w:pPr>
        <w:keepNext/>
        <w:jc w:val="both"/>
        <w:rPr>
          <w:b/>
          <w:bCs/>
          <w:sz w:val="24"/>
          <w:szCs w:val="24"/>
          <w:lang w:val="en-US"/>
        </w:rPr>
      </w:pPr>
      <w:r w:rsidRPr="00412577">
        <w:rPr>
          <w:b/>
          <w:bCs/>
          <w:sz w:val="24"/>
          <w:szCs w:val="24"/>
          <w:lang w:val="en-US"/>
        </w:rPr>
        <w:t>&lt;2&gt;Unit of analysis and reference</w:t>
      </w:r>
    </w:p>
    <w:p w14:paraId="4F1BE640" w14:textId="68191BEA" w:rsidR="00F54922" w:rsidRPr="00CB681B" w:rsidRDefault="00B956FB" w:rsidP="00CE468B">
      <w:pPr>
        <w:jc w:val="both"/>
        <w:rPr>
          <w:b/>
          <w:bCs/>
          <w:lang w:val="en-US"/>
        </w:rPr>
      </w:pPr>
      <w:r>
        <w:rPr>
          <w:lang w:val="en-US"/>
        </w:rPr>
        <w:t xml:space="preserve">Individual Internet users </w:t>
      </w:r>
      <w:r>
        <w:rPr>
          <w:color w:val="231F20"/>
          <w:w w:val="105"/>
          <w:lang w:val="en-US"/>
        </w:rPr>
        <w:t xml:space="preserve">16 years </w:t>
      </w:r>
      <w:r w:rsidR="00931D7D">
        <w:rPr>
          <w:color w:val="231F20"/>
          <w:w w:val="105"/>
          <w:lang w:val="en-US"/>
        </w:rPr>
        <w:t>old</w:t>
      </w:r>
      <w:r>
        <w:rPr>
          <w:color w:val="231F20"/>
          <w:w w:val="105"/>
          <w:lang w:val="en-US"/>
        </w:rPr>
        <w:t xml:space="preserve"> or older</w:t>
      </w:r>
      <w:r>
        <w:rPr>
          <w:lang w:val="en-US"/>
        </w:rPr>
        <w:t>.</w:t>
      </w:r>
    </w:p>
    <w:p w14:paraId="7C5D036E" w14:textId="77777777" w:rsidR="00EB56D5" w:rsidRPr="00CB681B" w:rsidRDefault="00B956FB" w:rsidP="00EB56D5">
      <w:pPr>
        <w:jc w:val="both"/>
        <w:rPr>
          <w:b/>
          <w:bCs/>
          <w:sz w:val="24"/>
          <w:szCs w:val="24"/>
          <w:lang w:val="en-US"/>
        </w:rPr>
      </w:pPr>
      <w:r w:rsidRPr="00412577">
        <w:rPr>
          <w:b/>
          <w:bCs/>
          <w:sz w:val="24"/>
          <w:szCs w:val="24"/>
          <w:lang w:val="en-US"/>
        </w:rPr>
        <w:t>&lt;2&gt;Areas of interest for analysis and dissemination</w:t>
      </w:r>
    </w:p>
    <w:p w14:paraId="17599F87" w14:textId="7335ACC0" w:rsidR="00EB56D5" w:rsidRPr="00CB681B" w:rsidRDefault="00B956FB" w:rsidP="00EB56D5">
      <w:pPr>
        <w:jc w:val="both"/>
        <w:rPr>
          <w:lang w:val="en-US"/>
        </w:rPr>
      </w:pPr>
      <w:r w:rsidRPr="00572A64">
        <w:rPr>
          <w:lang w:val="en-US"/>
        </w:rPr>
        <w:t xml:space="preserve">For the units of analysis and reference, the results are reported </w:t>
      </w:r>
      <w:r w:rsidR="00F26F6A">
        <w:rPr>
          <w:lang w:val="en-US"/>
        </w:rPr>
        <w:t>by</w:t>
      </w:r>
      <w:r w:rsidRPr="00572A64">
        <w:rPr>
          <w:lang w:val="en-US"/>
        </w:rPr>
        <w:t xml:space="preserve"> domains defined based on the variables and levels described below:</w:t>
      </w:r>
    </w:p>
    <w:p w14:paraId="6449CE97" w14:textId="5EF240C1" w:rsidR="00EB56D5" w:rsidRPr="005C4BBF" w:rsidRDefault="00DC77F0" w:rsidP="00CE468B">
      <w:pPr>
        <w:pStyle w:val="PargrafodaLista"/>
        <w:numPr>
          <w:ilvl w:val="0"/>
          <w:numId w:val="13"/>
        </w:numPr>
        <w:jc w:val="both"/>
        <w:rPr>
          <w:lang w:val="en-US"/>
        </w:rPr>
      </w:pPr>
      <w:r>
        <w:rPr>
          <w:b/>
          <w:lang w:val="en-US"/>
        </w:rPr>
        <w:t>s</w:t>
      </w:r>
      <w:r w:rsidR="00D22A7C" w:rsidRPr="005C4BBF">
        <w:rPr>
          <w:b/>
          <w:lang w:val="en-US"/>
        </w:rPr>
        <w:t>ex:</w:t>
      </w:r>
      <w:r w:rsidR="00B956FB" w:rsidRPr="005C4BBF">
        <w:rPr>
          <w:lang w:val="en-US"/>
        </w:rPr>
        <w:t xml:space="preserve"> </w:t>
      </w:r>
      <w:r w:rsidR="008F69DA">
        <w:rPr>
          <w:lang w:val="en-US"/>
        </w:rPr>
        <w:t>C</w:t>
      </w:r>
      <w:r w:rsidR="00B956FB" w:rsidRPr="005C4BBF">
        <w:rPr>
          <w:lang w:val="en-US"/>
        </w:rPr>
        <w:t xml:space="preserve">orresponds to the division into male or </w:t>
      </w:r>
      <w:proofErr w:type="gramStart"/>
      <w:r w:rsidR="00B956FB" w:rsidRPr="005C4BBF">
        <w:rPr>
          <w:lang w:val="en-US"/>
        </w:rPr>
        <w:t>female;</w:t>
      </w:r>
      <w:proofErr w:type="gramEnd"/>
    </w:p>
    <w:p w14:paraId="7E875ACE" w14:textId="28933CEB" w:rsidR="00EB56D5" w:rsidRPr="005C4BBF" w:rsidRDefault="00DC77F0" w:rsidP="00CE468B">
      <w:pPr>
        <w:pStyle w:val="PargrafodaLista"/>
        <w:numPr>
          <w:ilvl w:val="0"/>
          <w:numId w:val="13"/>
        </w:numPr>
        <w:jc w:val="both"/>
        <w:rPr>
          <w:lang w:val="en-US"/>
        </w:rPr>
      </w:pPr>
      <w:r>
        <w:rPr>
          <w:b/>
          <w:lang w:val="en-US"/>
        </w:rPr>
        <w:lastRenderedPageBreak/>
        <w:t>l</w:t>
      </w:r>
      <w:r w:rsidR="00D22A7C" w:rsidRPr="005C4BBF">
        <w:rPr>
          <w:b/>
          <w:lang w:val="en-US"/>
        </w:rPr>
        <w:t>evel of education:</w:t>
      </w:r>
      <w:r w:rsidR="00B956FB" w:rsidRPr="005C4BBF">
        <w:rPr>
          <w:lang w:val="en-US"/>
        </w:rPr>
        <w:t xml:space="preserve"> </w:t>
      </w:r>
      <w:r w:rsidR="008F69DA">
        <w:rPr>
          <w:lang w:val="en-US"/>
        </w:rPr>
        <w:t>C</w:t>
      </w:r>
      <w:r w:rsidR="00B956FB" w:rsidRPr="005C4BBF">
        <w:rPr>
          <w:lang w:val="en-US"/>
        </w:rPr>
        <w:t>orresponds to the division into Elementary Education, Secondary Education</w:t>
      </w:r>
      <w:r w:rsidR="008F69DA">
        <w:rPr>
          <w:lang w:val="en-US"/>
        </w:rPr>
        <w:t>,</w:t>
      </w:r>
      <w:r w:rsidR="00B956FB" w:rsidRPr="005C4BBF">
        <w:rPr>
          <w:lang w:val="en-US"/>
        </w:rPr>
        <w:t xml:space="preserve"> </w:t>
      </w:r>
      <w:r w:rsidR="008F69DA">
        <w:rPr>
          <w:lang w:val="en-US"/>
        </w:rPr>
        <w:t>and</w:t>
      </w:r>
      <w:r w:rsidR="00B956FB" w:rsidRPr="005C4BBF">
        <w:rPr>
          <w:lang w:val="en-US"/>
        </w:rPr>
        <w:t xml:space="preserve"> Tertiary Education</w:t>
      </w:r>
      <w:r w:rsidR="00B956FB">
        <w:rPr>
          <w:rStyle w:val="Refdenotaderodap"/>
        </w:rPr>
        <w:footnoteReference w:id="1"/>
      </w:r>
      <w:r w:rsidR="00B956FB" w:rsidRPr="005C4BBF">
        <w:rPr>
          <w:lang w:val="en-US"/>
        </w:rPr>
        <w:t>;</w:t>
      </w:r>
    </w:p>
    <w:p w14:paraId="29B39CE1" w14:textId="287E88C0" w:rsidR="00EB56D5" w:rsidRPr="005C4BBF" w:rsidRDefault="00DC77F0" w:rsidP="00CE468B">
      <w:pPr>
        <w:pStyle w:val="PargrafodaLista"/>
        <w:numPr>
          <w:ilvl w:val="0"/>
          <w:numId w:val="13"/>
        </w:numPr>
        <w:jc w:val="both"/>
        <w:rPr>
          <w:lang w:val="en-US"/>
        </w:rPr>
      </w:pPr>
      <w:r>
        <w:rPr>
          <w:b/>
          <w:lang w:val="en-US"/>
        </w:rPr>
        <w:t>a</w:t>
      </w:r>
      <w:r w:rsidR="00D22A7C" w:rsidRPr="005C4BBF">
        <w:rPr>
          <w:b/>
          <w:lang w:val="en-US"/>
        </w:rPr>
        <w:t>ge group:</w:t>
      </w:r>
      <w:r w:rsidR="00B956FB" w:rsidRPr="005C4BBF">
        <w:rPr>
          <w:lang w:val="en-US"/>
        </w:rPr>
        <w:t xml:space="preserve"> </w:t>
      </w:r>
      <w:r w:rsidR="00D913D0">
        <w:rPr>
          <w:lang w:val="en-US"/>
        </w:rPr>
        <w:t>C</w:t>
      </w:r>
      <w:r w:rsidR="00B956FB" w:rsidRPr="005C4BBF">
        <w:rPr>
          <w:lang w:val="en-US"/>
        </w:rPr>
        <w:t xml:space="preserve">orresponds to the division into the ranges of 16 to 24 years old, 25 to 34 years old, 35 to 44 years old, 45 to 59 years old, or 60 years old and </w:t>
      </w:r>
      <w:proofErr w:type="gramStart"/>
      <w:r w:rsidR="00B956FB" w:rsidRPr="005C4BBF">
        <w:rPr>
          <w:lang w:val="en-US"/>
        </w:rPr>
        <w:t>older;</w:t>
      </w:r>
      <w:proofErr w:type="gramEnd"/>
    </w:p>
    <w:p w14:paraId="6A9629F2" w14:textId="1950F888" w:rsidR="00EB56D5" w:rsidRPr="005C4BBF" w:rsidRDefault="00DC77F0" w:rsidP="00CE468B">
      <w:pPr>
        <w:pStyle w:val="PargrafodaLista"/>
        <w:numPr>
          <w:ilvl w:val="0"/>
          <w:numId w:val="13"/>
        </w:numPr>
        <w:jc w:val="both"/>
        <w:rPr>
          <w:lang w:val="en-US"/>
        </w:rPr>
      </w:pPr>
      <w:r>
        <w:rPr>
          <w:b/>
          <w:lang w:val="en-US"/>
        </w:rPr>
        <w:t>r</w:t>
      </w:r>
      <w:r w:rsidR="00D22A7C" w:rsidRPr="005C4BBF">
        <w:rPr>
          <w:b/>
          <w:lang w:val="en-US"/>
        </w:rPr>
        <w:t>egion:</w:t>
      </w:r>
      <w:r w:rsidR="00B956FB" w:rsidRPr="005C4BBF">
        <w:rPr>
          <w:lang w:val="en-US"/>
        </w:rPr>
        <w:t xml:space="preserve"> </w:t>
      </w:r>
      <w:r w:rsidR="00D913D0">
        <w:rPr>
          <w:lang w:val="en-US"/>
        </w:rPr>
        <w:t>C</w:t>
      </w:r>
      <w:r w:rsidR="00B956FB" w:rsidRPr="005C4BBF">
        <w:rPr>
          <w:lang w:val="en-US"/>
        </w:rPr>
        <w:t>orresponds to the regional division of Brazil, according to criteria of the Brazilian Institute of Geography and Statistics (IBGE), in</w:t>
      </w:r>
      <w:r w:rsidR="00D913D0">
        <w:rPr>
          <w:lang w:val="en-US"/>
        </w:rPr>
        <w:t>to</w:t>
      </w:r>
      <w:r w:rsidR="00B956FB" w:rsidRPr="005C4BBF">
        <w:rPr>
          <w:lang w:val="en-US"/>
        </w:rPr>
        <w:t xml:space="preserve"> the macro</w:t>
      </w:r>
      <w:r w:rsidR="00521AB6">
        <w:rPr>
          <w:lang w:val="en-US"/>
        </w:rPr>
        <w:t>-</w:t>
      </w:r>
      <w:r w:rsidR="00B956FB" w:rsidRPr="005C4BBF">
        <w:rPr>
          <w:lang w:val="en-US"/>
        </w:rPr>
        <w:t>regions North, Northeast, Southeast, South</w:t>
      </w:r>
      <w:r w:rsidR="00D913D0">
        <w:rPr>
          <w:lang w:val="en-US"/>
        </w:rPr>
        <w:t>,</w:t>
      </w:r>
      <w:r w:rsidR="00B956FB" w:rsidRPr="005C4BBF">
        <w:rPr>
          <w:lang w:val="en-US"/>
        </w:rPr>
        <w:t xml:space="preserve"> </w:t>
      </w:r>
      <w:r w:rsidR="00D913D0">
        <w:rPr>
          <w:lang w:val="en-US"/>
        </w:rPr>
        <w:t>and</w:t>
      </w:r>
      <w:r w:rsidR="00B956FB" w:rsidRPr="005C4BBF">
        <w:rPr>
          <w:lang w:val="en-US"/>
        </w:rPr>
        <w:t xml:space="preserve"> Center-</w:t>
      </w:r>
      <w:proofErr w:type="gramStart"/>
      <w:r w:rsidR="00B956FB" w:rsidRPr="005C4BBF">
        <w:rPr>
          <w:lang w:val="en-US"/>
        </w:rPr>
        <w:t>West;</w:t>
      </w:r>
      <w:proofErr w:type="gramEnd"/>
    </w:p>
    <w:p w14:paraId="1DD40A53" w14:textId="525B3785" w:rsidR="00EB56D5" w:rsidRPr="005C4BBF" w:rsidRDefault="00DC77F0" w:rsidP="00CE468B">
      <w:pPr>
        <w:pStyle w:val="PargrafodaLista"/>
        <w:numPr>
          <w:ilvl w:val="0"/>
          <w:numId w:val="13"/>
        </w:numPr>
        <w:jc w:val="both"/>
        <w:rPr>
          <w:lang w:val="en-US"/>
        </w:rPr>
      </w:pPr>
      <w:r>
        <w:rPr>
          <w:b/>
          <w:lang w:val="en-US"/>
        </w:rPr>
        <w:t>s</w:t>
      </w:r>
      <w:r w:rsidR="00D22A7C" w:rsidRPr="005C4BBF">
        <w:rPr>
          <w:b/>
          <w:lang w:val="en-US"/>
        </w:rPr>
        <w:t>ocial class:</w:t>
      </w:r>
      <w:r w:rsidR="00F26F6A" w:rsidRPr="005C4BBF">
        <w:rPr>
          <w:b/>
          <w:lang w:val="en-US"/>
        </w:rPr>
        <w:t xml:space="preserve"> </w:t>
      </w:r>
      <w:r w:rsidR="00D913D0">
        <w:rPr>
          <w:lang w:val="en-US"/>
        </w:rPr>
        <w:t>C</w:t>
      </w:r>
      <w:r w:rsidR="00B956FB" w:rsidRPr="005C4BBF">
        <w:rPr>
          <w:lang w:val="en-US"/>
        </w:rPr>
        <w:t>orresponds to the division into AB, C or DE, according to the Criterion of Economic Classification Brazil (CCEB), of the Brazilian Association of Research Companies (</w:t>
      </w:r>
      <w:proofErr w:type="spellStart"/>
      <w:r w:rsidR="00B956FB" w:rsidRPr="005C4BBF">
        <w:rPr>
          <w:lang w:val="en-US"/>
        </w:rPr>
        <w:t>Abep</w:t>
      </w:r>
      <w:proofErr w:type="spellEnd"/>
      <w:r w:rsidR="00B956FB" w:rsidRPr="005C4BBF">
        <w:rPr>
          <w:lang w:val="en-US"/>
        </w:rPr>
        <w:t>).</w:t>
      </w:r>
    </w:p>
    <w:p w14:paraId="1C19FA5E" w14:textId="1B7AFCE6" w:rsidR="00EB56D5" w:rsidRPr="00CB681B" w:rsidRDefault="00B956FB" w:rsidP="00EB56D5">
      <w:pPr>
        <w:jc w:val="both"/>
        <w:rPr>
          <w:b/>
          <w:bCs/>
          <w:lang w:val="en-US"/>
        </w:rPr>
      </w:pPr>
      <w:r>
        <w:rPr>
          <w:b/>
          <w:bCs/>
          <w:lang w:val="en-US"/>
        </w:rPr>
        <w:t>&lt;2&gt;Data collection instruments</w:t>
      </w:r>
    </w:p>
    <w:p w14:paraId="2BA6B5DA" w14:textId="44DCCBDD" w:rsidR="00EB56D5" w:rsidRPr="00CB681B" w:rsidRDefault="00B956FB" w:rsidP="00EB56D5">
      <w:pPr>
        <w:jc w:val="both"/>
        <w:rPr>
          <w:lang w:val="en-US"/>
        </w:rPr>
      </w:pPr>
      <w:r>
        <w:rPr>
          <w:b/>
          <w:bCs/>
          <w:lang w:val="en-US"/>
        </w:rPr>
        <w:t>&lt;3&gt;</w:t>
      </w:r>
      <w:r w:rsidR="009A719C">
        <w:rPr>
          <w:b/>
          <w:bCs/>
          <w:lang w:val="en-US"/>
        </w:rPr>
        <w:t xml:space="preserve">Information </w:t>
      </w:r>
      <w:r>
        <w:rPr>
          <w:b/>
          <w:bCs/>
          <w:lang w:val="en-US"/>
        </w:rPr>
        <w:t>on collection instruments</w:t>
      </w:r>
    </w:p>
    <w:p w14:paraId="359B2D89" w14:textId="5A9BFF6B" w:rsidR="00EB56D5" w:rsidRPr="00CB681B" w:rsidRDefault="00B956FB" w:rsidP="00EB56D5">
      <w:pPr>
        <w:jc w:val="both"/>
        <w:rPr>
          <w:lang w:val="en-US"/>
        </w:rPr>
      </w:pPr>
      <w:r>
        <w:rPr>
          <w:lang w:val="en-US"/>
        </w:rPr>
        <w:t xml:space="preserve">Data </w:t>
      </w:r>
      <w:r w:rsidR="00F26F6A">
        <w:rPr>
          <w:lang w:val="en-US"/>
        </w:rPr>
        <w:t>was</w:t>
      </w:r>
      <w:r>
        <w:rPr>
          <w:lang w:val="en-US"/>
        </w:rPr>
        <w:t xml:space="preserve"> collected through a structured questionnaire, with closed-ended questions and predefined answers (single or multiple answers) and, in some cases, open-ended questions analyzed </w:t>
      </w:r>
      <w:r w:rsidR="00F26F6A">
        <w:rPr>
          <w:lang w:val="en-US"/>
        </w:rPr>
        <w:t>using</w:t>
      </w:r>
      <w:r>
        <w:rPr>
          <w:lang w:val="en-US"/>
        </w:rPr>
        <w:t xml:space="preserve"> text analysis methodologies. The questionnaire </w:t>
      </w:r>
      <w:r w:rsidR="00F26F6A">
        <w:rPr>
          <w:lang w:val="en-US"/>
        </w:rPr>
        <w:t>was</w:t>
      </w:r>
      <w:r>
        <w:rPr>
          <w:lang w:val="en-US"/>
        </w:rPr>
        <w:t xml:space="preserve"> self-administered without interviewer mediation. </w:t>
      </w:r>
    </w:p>
    <w:p w14:paraId="2138ECB2" w14:textId="114D1B37" w:rsidR="00EB56D5" w:rsidRPr="00CB681B" w:rsidRDefault="00B956FB" w:rsidP="00EB56D5">
      <w:pPr>
        <w:keepNext/>
        <w:jc w:val="both"/>
        <w:rPr>
          <w:b/>
          <w:bCs/>
          <w:lang w:val="en-US"/>
        </w:rPr>
      </w:pPr>
      <w:r>
        <w:rPr>
          <w:b/>
          <w:bCs/>
          <w:lang w:val="en-US"/>
        </w:rPr>
        <w:t>&lt;3&gt;</w:t>
      </w:r>
      <w:r w:rsidR="00CE468B">
        <w:rPr>
          <w:b/>
          <w:bCs/>
          <w:lang w:val="en-US"/>
        </w:rPr>
        <w:t>Themes</w:t>
      </w:r>
    </w:p>
    <w:p w14:paraId="03730163" w14:textId="106DD96A" w:rsidR="002C3E8C" w:rsidRPr="00CB681B" w:rsidRDefault="00B956FB" w:rsidP="00CE468B">
      <w:pPr>
        <w:jc w:val="both"/>
        <w:rPr>
          <w:b/>
          <w:bCs/>
          <w:lang w:val="en-US"/>
        </w:rPr>
      </w:pPr>
      <w:r>
        <w:rPr>
          <w:lang w:val="en-US"/>
        </w:rPr>
        <w:t xml:space="preserve">The survey investigated topics associated with activities carried out on the Internet and the devices used to go online, based on the reference indicators validated by the ICT Households survey, carried out by </w:t>
      </w:r>
      <w:r w:rsidR="00DC77F0">
        <w:rPr>
          <w:lang w:val="en-US"/>
        </w:rPr>
        <w:t>CGI.br</w:t>
      </w:r>
      <w:r>
        <w:rPr>
          <w:lang w:val="en-US"/>
        </w:rPr>
        <w:t>, and usage indicators related to relevant topics at the time of the survey.</w:t>
      </w:r>
    </w:p>
    <w:p w14:paraId="6E08F0EE" w14:textId="338A6055" w:rsidR="00EB56D5" w:rsidRPr="00CB681B" w:rsidRDefault="00B956FB" w:rsidP="00EB56D5">
      <w:pPr>
        <w:jc w:val="both"/>
        <w:rPr>
          <w:b/>
          <w:bCs/>
          <w:sz w:val="24"/>
          <w:szCs w:val="24"/>
          <w:lang w:val="en-US"/>
        </w:rPr>
      </w:pPr>
      <w:r w:rsidRPr="00412577">
        <w:rPr>
          <w:b/>
          <w:bCs/>
          <w:sz w:val="24"/>
          <w:szCs w:val="24"/>
          <w:lang w:val="en-US"/>
        </w:rPr>
        <w:t>&lt;2&gt;Sampling plan</w:t>
      </w:r>
    </w:p>
    <w:p w14:paraId="680FBC9D" w14:textId="0031C30A" w:rsidR="00EB56D5" w:rsidRPr="00CB681B" w:rsidRDefault="00B956FB" w:rsidP="00EB56D5">
      <w:pPr>
        <w:jc w:val="both"/>
        <w:rPr>
          <w:b/>
          <w:bCs/>
          <w:lang w:val="en-US"/>
        </w:rPr>
      </w:pPr>
      <w:r>
        <w:rPr>
          <w:b/>
          <w:bCs/>
          <w:lang w:val="en-US"/>
        </w:rPr>
        <w:t>&lt;3&gt;Survey frame and sources of information</w:t>
      </w:r>
    </w:p>
    <w:p w14:paraId="3EC3D171" w14:textId="79F3F3CE" w:rsidR="00EB56D5" w:rsidRPr="00CB681B" w:rsidRDefault="00B956FB" w:rsidP="00EB56D5">
      <w:pPr>
        <w:jc w:val="both"/>
        <w:rPr>
          <w:lang w:val="en-US"/>
        </w:rPr>
      </w:pPr>
      <w:r>
        <w:rPr>
          <w:lang w:val="en-US"/>
        </w:rPr>
        <w:t xml:space="preserve">For the sample design of the ICT Panel, a panel of respondents </w:t>
      </w:r>
      <w:r w:rsidR="005143D1">
        <w:rPr>
          <w:lang w:val="en-US"/>
        </w:rPr>
        <w:t xml:space="preserve">previously recruited by </w:t>
      </w:r>
      <w:r>
        <w:rPr>
          <w:lang w:val="en-US"/>
        </w:rPr>
        <w:t xml:space="preserve">a market research company was used as a primary source, which </w:t>
      </w:r>
      <w:r w:rsidR="005143D1">
        <w:rPr>
          <w:lang w:val="en-US"/>
        </w:rPr>
        <w:t xml:space="preserve">included </w:t>
      </w:r>
      <w:r>
        <w:rPr>
          <w:lang w:val="en-US"/>
        </w:rPr>
        <w:t>panelists 16 years old or older. Panel participants were recruited through a series of channels and methods</w:t>
      </w:r>
      <w:bookmarkStart w:id="2" w:name="_Hlk168491622"/>
      <w:r>
        <w:rPr>
          <w:lang w:val="en-US"/>
        </w:rPr>
        <w:t xml:space="preserve">, including probabilistic research, </w:t>
      </w:r>
      <w:bookmarkEnd w:id="2"/>
      <w:r>
        <w:rPr>
          <w:lang w:val="en-US"/>
        </w:rPr>
        <w:t>careful selection of recruitment partners and partnerships with communication and media outlets, continuous evaluation of the response rate of panelists, focus on recruitment actions for specific audiences according to customer needs</w:t>
      </w:r>
      <w:r w:rsidR="00C400FF">
        <w:rPr>
          <w:lang w:val="en-US"/>
        </w:rPr>
        <w:t>,</w:t>
      </w:r>
      <w:r>
        <w:rPr>
          <w:lang w:val="en-US"/>
        </w:rPr>
        <w:t xml:space="preserve"> and </w:t>
      </w:r>
      <w:r w:rsidR="00C400FF">
        <w:rPr>
          <w:lang w:val="en-US"/>
        </w:rPr>
        <w:t xml:space="preserve">a </w:t>
      </w:r>
      <w:r>
        <w:rPr>
          <w:lang w:val="en-US"/>
        </w:rPr>
        <w:t>recruitment process in accordance with the highest market standards. In addition, it is important to mention that panel participants received incentives to respond to the surveys.</w:t>
      </w:r>
    </w:p>
    <w:p w14:paraId="79469FEF" w14:textId="2445A82D" w:rsidR="00EB56D5" w:rsidRPr="00CB681B" w:rsidRDefault="00B956FB" w:rsidP="00EB56D5">
      <w:pPr>
        <w:keepNext/>
        <w:jc w:val="both"/>
        <w:rPr>
          <w:b/>
          <w:bCs/>
          <w:lang w:val="en-US"/>
        </w:rPr>
      </w:pPr>
      <w:r w:rsidRPr="001D3E2E">
        <w:rPr>
          <w:b/>
          <w:bCs/>
          <w:lang w:val="en-US"/>
        </w:rPr>
        <w:lastRenderedPageBreak/>
        <w:t>&lt;3&gt;Sample size determination</w:t>
      </w:r>
    </w:p>
    <w:p w14:paraId="25728365" w14:textId="1F518C09" w:rsidR="00EB56D5" w:rsidRPr="00CB681B" w:rsidRDefault="00B956FB" w:rsidP="00EB56D5">
      <w:pPr>
        <w:jc w:val="both"/>
        <w:rPr>
          <w:lang w:val="en-US"/>
        </w:rPr>
      </w:pPr>
      <w:r>
        <w:rPr>
          <w:lang w:val="en-US"/>
        </w:rPr>
        <w:t>The sample was sized according to information needs, available resources</w:t>
      </w:r>
      <w:r w:rsidR="00346D70">
        <w:rPr>
          <w:lang w:val="en-US"/>
        </w:rPr>
        <w:t>,</w:t>
      </w:r>
      <w:r>
        <w:rPr>
          <w:lang w:val="en-US"/>
        </w:rPr>
        <w:t xml:space="preserve"> and the time frame in which the survey needed information for analysis. The total number of interviews of each wave of the ICT Panel </w:t>
      </w:r>
      <w:r w:rsidR="00447775">
        <w:rPr>
          <w:lang w:val="en-US"/>
        </w:rPr>
        <w:t>is</w:t>
      </w:r>
      <w:r>
        <w:rPr>
          <w:lang w:val="en-US"/>
        </w:rPr>
        <w:t xml:space="preserve"> presented in the "Data Collection Report". </w:t>
      </w:r>
    </w:p>
    <w:p w14:paraId="35277F00" w14:textId="44017DF9" w:rsidR="00EB56D5" w:rsidRPr="00CB681B" w:rsidRDefault="00B956FB" w:rsidP="00EB56D5">
      <w:pPr>
        <w:keepNext/>
        <w:jc w:val="both"/>
        <w:rPr>
          <w:b/>
          <w:bCs/>
          <w:lang w:val="en-US"/>
        </w:rPr>
      </w:pPr>
      <w:r w:rsidRPr="001D3E2E">
        <w:rPr>
          <w:b/>
          <w:bCs/>
          <w:lang w:val="en-US"/>
        </w:rPr>
        <w:t>&lt;3&gt;Methods for obtaining the sample</w:t>
      </w:r>
    </w:p>
    <w:p w14:paraId="3C9F85B3" w14:textId="3114C363" w:rsidR="00BE13AE" w:rsidRPr="00CB681B" w:rsidRDefault="00B956FB" w:rsidP="00CE468B">
      <w:pPr>
        <w:jc w:val="both"/>
        <w:rPr>
          <w:b/>
          <w:bCs/>
          <w:lang w:val="en-US"/>
        </w:rPr>
      </w:pPr>
      <w:r>
        <w:rPr>
          <w:lang w:val="en-US"/>
        </w:rPr>
        <w:t xml:space="preserve">A quota sampling plan was used to obtain the sample of respondents. The quotas were established considering sex, age group, education, macro-region, and social class, and </w:t>
      </w:r>
      <w:r w:rsidR="00447775">
        <w:rPr>
          <w:lang w:val="en-US"/>
        </w:rPr>
        <w:t xml:space="preserve">were </w:t>
      </w:r>
      <w:r>
        <w:rPr>
          <w:lang w:val="en-US"/>
        </w:rPr>
        <w:t>used to indicate the individuals to be approached for collection through the Web. The sample allocation according to the established criteria was disproportionate to the information contained in the survey frame, given the need to meet the demand for information for all domains of interest. The sample resulting from this collection effort is hereinafter referred to as the ICT Panel.</w:t>
      </w:r>
    </w:p>
    <w:p w14:paraId="4ED8F5C6" w14:textId="669B8AFE" w:rsidR="00EB56D5" w:rsidRPr="00CB681B" w:rsidRDefault="00B956FB" w:rsidP="00EB56D5">
      <w:pPr>
        <w:jc w:val="both"/>
        <w:rPr>
          <w:b/>
          <w:bCs/>
          <w:sz w:val="24"/>
          <w:szCs w:val="24"/>
          <w:lang w:val="en-US"/>
        </w:rPr>
      </w:pPr>
      <w:r w:rsidRPr="00412577">
        <w:rPr>
          <w:b/>
          <w:bCs/>
          <w:sz w:val="24"/>
          <w:szCs w:val="24"/>
          <w:lang w:val="en-US"/>
        </w:rPr>
        <w:t>&lt;2&gt;Field data collection</w:t>
      </w:r>
    </w:p>
    <w:p w14:paraId="74598D49" w14:textId="7830303A" w:rsidR="00EB56D5" w:rsidRPr="00CB681B" w:rsidRDefault="00B956FB" w:rsidP="00EB56D5">
      <w:pPr>
        <w:jc w:val="both"/>
        <w:rPr>
          <w:lang w:val="en-US"/>
        </w:rPr>
      </w:pPr>
      <w:r>
        <w:rPr>
          <w:b/>
          <w:bCs/>
          <w:lang w:val="en-US"/>
        </w:rPr>
        <w:t>&lt;2&gt;Data collection method</w:t>
      </w:r>
    </w:p>
    <w:p w14:paraId="2A8E19FD" w14:textId="77777777" w:rsidR="00530E12" w:rsidRPr="00CB681B" w:rsidRDefault="00B956FB" w:rsidP="00BE13AE">
      <w:pPr>
        <w:jc w:val="both"/>
        <w:rPr>
          <w:lang w:val="en-US"/>
        </w:rPr>
      </w:pPr>
      <w:r>
        <w:rPr>
          <w:lang w:val="en-US"/>
        </w:rPr>
        <w:t>Data was collected using computer-assisted web interviewing (CAWI), through a programmed and self-administered online questionnaire.</w:t>
      </w:r>
    </w:p>
    <w:p w14:paraId="2887CB1D" w14:textId="67B5D7F1" w:rsidR="00EB56D5" w:rsidRPr="00CB681B" w:rsidRDefault="00B956FB" w:rsidP="00EB56D5">
      <w:pPr>
        <w:jc w:val="both"/>
        <w:rPr>
          <w:b/>
          <w:bCs/>
          <w:sz w:val="24"/>
          <w:szCs w:val="24"/>
          <w:lang w:val="en-US"/>
        </w:rPr>
      </w:pPr>
      <w:r w:rsidRPr="00412577">
        <w:rPr>
          <w:b/>
          <w:bCs/>
          <w:sz w:val="24"/>
          <w:szCs w:val="24"/>
          <w:lang w:val="en-US"/>
        </w:rPr>
        <w:t>&lt;2&gt;Data processing</w:t>
      </w:r>
    </w:p>
    <w:p w14:paraId="7C87E6F5" w14:textId="59663D19" w:rsidR="00EB56D5" w:rsidRPr="00CB681B" w:rsidRDefault="00B956FB" w:rsidP="00EB56D5">
      <w:pPr>
        <w:jc w:val="both"/>
        <w:rPr>
          <w:b/>
          <w:bCs/>
          <w:lang w:val="en-US"/>
        </w:rPr>
      </w:pPr>
      <w:r>
        <w:rPr>
          <w:b/>
          <w:bCs/>
          <w:lang w:val="en-US"/>
        </w:rPr>
        <w:t>&lt;3&gt;Weighting procedures</w:t>
      </w:r>
    </w:p>
    <w:p w14:paraId="04B43387" w14:textId="19AE7E85" w:rsidR="00EB56D5" w:rsidRPr="00CB681B" w:rsidRDefault="00B956FB" w:rsidP="00EB56D5">
      <w:pPr>
        <w:jc w:val="both"/>
        <w:rPr>
          <w:lang w:val="en-US"/>
        </w:rPr>
      </w:pPr>
      <w:r>
        <w:rPr>
          <w:lang w:val="en-US"/>
        </w:rPr>
        <w:t>Sample surveys that use quotas to select respondents are classified as non-probabilistic. Typically, such strategies do not allow the calculation of sampling errors and may carry some selection biases, as the selection probabilities of each unit are not known. Non-probability approaches are common in opinion, voting intention, product evaluation, and customer satisfaction polls. Such surveys generally have shorter collection periods and lower budgets,</w:t>
      </w:r>
      <w:r w:rsidR="00F26F6A">
        <w:rPr>
          <w:lang w:val="en-US"/>
        </w:rPr>
        <w:t xml:space="preserve"> and</w:t>
      </w:r>
      <w:r>
        <w:rPr>
          <w:lang w:val="en-US"/>
        </w:rPr>
        <w:t xml:space="preserve"> do not follow the usual rigor of probability sampling methods to obtain samples.</w:t>
      </w:r>
    </w:p>
    <w:p w14:paraId="10297286" w14:textId="19CAE1BB" w:rsidR="00EB56D5" w:rsidRPr="00CB681B" w:rsidRDefault="00B956FB" w:rsidP="00EB56D5">
      <w:pPr>
        <w:jc w:val="both"/>
        <w:rPr>
          <w:lang w:val="en-US"/>
        </w:rPr>
      </w:pPr>
      <w:r>
        <w:rPr>
          <w:lang w:val="en-US"/>
        </w:rPr>
        <w:t>Recently, the growing demand for more frequent and disaggregated information, in addition to the emergence of new sources of information (</w:t>
      </w:r>
      <w:r w:rsidRPr="00F26F6A">
        <w:rPr>
          <w:lang w:val="en-US"/>
        </w:rPr>
        <w:t>Big Data</w:t>
      </w:r>
      <w:r>
        <w:rPr>
          <w:lang w:val="en-US"/>
        </w:rPr>
        <w:t>), has promoted numerous studies that try to assign weight structures that allow mitigat</w:t>
      </w:r>
      <w:r w:rsidR="006A22C0">
        <w:rPr>
          <w:lang w:val="en-US"/>
        </w:rPr>
        <w:t>ion of</w:t>
      </w:r>
      <w:r>
        <w:rPr>
          <w:lang w:val="en-US"/>
        </w:rPr>
        <w:t xml:space="preserve"> the biases of databases collected by non-traditional methods. In general, such studies use a sample survey or the traditional census as a reference for calculating weights for non-probability sample observations, which then serve as a basis for obtaining estimates of accuracy, confidence intervals, etc. As examples of studies along these lines, Elliott and Valliant (2017) and Valliant (2019) can be cited.</w:t>
      </w:r>
    </w:p>
    <w:p w14:paraId="211B462A" w14:textId="17428B18" w:rsidR="00EB56D5" w:rsidRPr="00CB681B" w:rsidRDefault="00B956FB" w:rsidP="00EB56D5">
      <w:pPr>
        <w:jc w:val="both"/>
        <w:rPr>
          <w:lang w:val="en-US"/>
        </w:rPr>
      </w:pPr>
      <w:r>
        <w:rPr>
          <w:lang w:val="en-US"/>
        </w:rPr>
        <w:t>For the ICT Panel, the last ICT Household</w:t>
      </w:r>
      <w:r w:rsidR="005F58B7">
        <w:rPr>
          <w:lang w:val="en-US"/>
        </w:rPr>
        <w:t>s</w:t>
      </w:r>
      <w:r>
        <w:rPr>
          <w:lang w:val="en-US"/>
        </w:rPr>
        <w:t xml:space="preserve"> </w:t>
      </w:r>
      <w:r w:rsidR="007C4E33">
        <w:rPr>
          <w:lang w:val="en-US"/>
        </w:rPr>
        <w:t xml:space="preserve">survey </w:t>
      </w:r>
      <w:r>
        <w:rPr>
          <w:lang w:val="en-US"/>
        </w:rPr>
        <w:t>(</w:t>
      </w:r>
      <w:r w:rsidR="007C4E33">
        <w:rPr>
          <w:lang w:val="en-US"/>
        </w:rPr>
        <w:t xml:space="preserve">a </w:t>
      </w:r>
      <w:r>
        <w:rPr>
          <w:lang w:val="en-US"/>
        </w:rPr>
        <w:t>probability survey)</w:t>
      </w:r>
      <w:r w:rsidR="007C4E33">
        <w:rPr>
          <w:lang w:val="en-US"/>
        </w:rPr>
        <w:t>,</w:t>
      </w:r>
      <w:r>
        <w:rPr>
          <w:lang w:val="en-US"/>
        </w:rPr>
        <w:t xml:space="preserve"> whose data has been publicly available</w:t>
      </w:r>
      <w:r w:rsidR="007C4E33">
        <w:rPr>
          <w:lang w:val="en-US"/>
        </w:rPr>
        <w:t>,</w:t>
      </w:r>
      <w:r>
        <w:rPr>
          <w:lang w:val="en-US"/>
        </w:rPr>
        <w:t xml:space="preserve"> was used as a primary reference. Additionally, the results of ICT Households </w:t>
      </w:r>
      <w:r w:rsidR="006E0EDF">
        <w:rPr>
          <w:lang w:val="en-US"/>
        </w:rPr>
        <w:t xml:space="preserve">were </w:t>
      </w:r>
      <w:r>
        <w:rPr>
          <w:lang w:val="en-US"/>
        </w:rPr>
        <w:t xml:space="preserve">updated </w:t>
      </w:r>
      <w:r w:rsidR="00F26F6A">
        <w:rPr>
          <w:lang w:val="en-US"/>
        </w:rPr>
        <w:t>based on</w:t>
      </w:r>
      <w:r>
        <w:rPr>
          <w:lang w:val="en-US"/>
        </w:rPr>
        <w:t xml:space="preserve"> the population of the Continuous National Household Sample Survey (Continuous PNAD), from IBGE, referring to the last quarter released. The process of weighting ICT panel respondents was divided into two stages:</w:t>
      </w:r>
    </w:p>
    <w:p w14:paraId="2E5F77AD" w14:textId="77777777" w:rsidR="00EB56D5" w:rsidRPr="00CB681B" w:rsidRDefault="00B956FB" w:rsidP="00EB56D5">
      <w:pPr>
        <w:pStyle w:val="PargrafodaLista"/>
        <w:numPr>
          <w:ilvl w:val="0"/>
          <w:numId w:val="7"/>
        </w:numPr>
        <w:spacing w:after="160" w:line="259" w:lineRule="auto"/>
        <w:jc w:val="both"/>
        <w:rPr>
          <w:lang w:val="en-US"/>
        </w:rPr>
      </w:pPr>
      <w:r>
        <w:rPr>
          <w:lang w:val="en-US"/>
        </w:rPr>
        <w:lastRenderedPageBreak/>
        <w:t>Estimation of the total contingent of Internet users aged 16 years old or older in Brazil at the reference date of the survey who are represented by the respondents of the ICT Panel.</w:t>
      </w:r>
    </w:p>
    <w:p w14:paraId="1B76F8E1" w14:textId="49CD0BB0" w:rsidR="00BE13AE" w:rsidRPr="00CB681B" w:rsidRDefault="00B956FB" w:rsidP="00CE468B">
      <w:pPr>
        <w:pStyle w:val="PargrafodaLista"/>
        <w:numPr>
          <w:ilvl w:val="0"/>
          <w:numId w:val="7"/>
        </w:numPr>
        <w:spacing w:after="160" w:line="259" w:lineRule="auto"/>
        <w:jc w:val="both"/>
        <w:rPr>
          <w:b/>
          <w:bCs/>
          <w:lang w:val="en-US"/>
        </w:rPr>
      </w:pPr>
      <w:r>
        <w:rPr>
          <w:lang w:val="en-US"/>
        </w:rPr>
        <w:t>Estimation of pseudo-probabilities of selection of these respondents for ICT Panel weighting.</w:t>
      </w:r>
    </w:p>
    <w:p w14:paraId="3E368C0E" w14:textId="77777777" w:rsidR="00EB56D5" w:rsidRPr="00CE468B" w:rsidRDefault="00B956FB" w:rsidP="00EB56D5">
      <w:pPr>
        <w:jc w:val="both"/>
        <w:rPr>
          <w:b/>
          <w:bCs/>
          <w:lang w:val="en-US"/>
        </w:rPr>
      </w:pPr>
      <w:r w:rsidRPr="00CE468B">
        <w:rPr>
          <w:b/>
          <w:bCs/>
          <w:lang w:val="en-US"/>
        </w:rPr>
        <w:t>&lt;4&gt;Step 1 - Estimation of the contingent of Internet users represented in the ICT Panel</w:t>
      </w:r>
    </w:p>
    <w:p w14:paraId="4DA7D764" w14:textId="55C01C26" w:rsidR="00EB56D5" w:rsidRPr="00CB681B" w:rsidRDefault="00B956FB" w:rsidP="00EB56D5">
      <w:pPr>
        <w:jc w:val="both"/>
        <w:rPr>
          <w:lang w:val="en-US"/>
        </w:rPr>
      </w:pPr>
      <w:r>
        <w:rPr>
          <w:lang w:val="en-US"/>
        </w:rPr>
        <w:t>The ICT Households survey (last available result), based on a traditional probabilistic approach, allows estimati</w:t>
      </w:r>
      <w:r w:rsidR="00AC33DC">
        <w:rPr>
          <w:lang w:val="en-US"/>
        </w:rPr>
        <w:t>o</w:t>
      </w:r>
      <w:r>
        <w:rPr>
          <w:lang w:val="en-US"/>
        </w:rPr>
        <w:t>n</w:t>
      </w:r>
      <w:r w:rsidR="00AC33DC">
        <w:rPr>
          <w:lang w:val="en-US"/>
        </w:rPr>
        <w:t xml:space="preserve"> of</w:t>
      </w:r>
      <w:r>
        <w:rPr>
          <w:lang w:val="en-US"/>
        </w:rPr>
        <w:t xml:space="preserve"> the total number of Brazilians 10 years old or older who are Internet users</w:t>
      </w:r>
      <w:r>
        <w:rPr>
          <w:rStyle w:val="Refdenotaderodap"/>
        </w:rPr>
        <w:footnoteReference w:id="2"/>
      </w:r>
      <w:r>
        <w:rPr>
          <w:lang w:val="en-US"/>
        </w:rPr>
        <w:t xml:space="preserve">. The ICT panel, on the other hand, includes respondents 16 years old or older who are Internet users, according to internationally adopted parameters (ITU, 2014). In order for the two samples to be comparable, the results of the ICT Households survey referring to the same age group </w:t>
      </w:r>
      <w:r w:rsidR="00F26F6A">
        <w:rPr>
          <w:lang w:val="en-US"/>
        </w:rPr>
        <w:t>were</w:t>
      </w:r>
      <w:r>
        <w:rPr>
          <w:lang w:val="en-US"/>
        </w:rPr>
        <w:t xml:space="preserve"> filtered. </w:t>
      </w:r>
    </w:p>
    <w:p w14:paraId="3AFEFD28" w14:textId="6423E9AC" w:rsidR="00EB56D5" w:rsidRPr="00CB681B" w:rsidRDefault="00B956FB" w:rsidP="00EB56D5">
      <w:pPr>
        <w:jc w:val="both"/>
        <w:rPr>
          <w:lang w:val="en-US"/>
        </w:rPr>
      </w:pPr>
      <w:r>
        <w:rPr>
          <w:lang w:val="en-US"/>
        </w:rPr>
        <w:t xml:space="preserve">Because the construction of the set of respondents of the ICT Panel is not done in a probabilistic way, it is not possible to consider it </w:t>
      </w:r>
      <w:r w:rsidRPr="00F26F6A">
        <w:rPr>
          <w:iCs/>
          <w:lang w:val="en-US"/>
        </w:rPr>
        <w:t>a priori</w:t>
      </w:r>
      <w:r>
        <w:rPr>
          <w:lang w:val="en-US"/>
        </w:rPr>
        <w:t xml:space="preserve"> as representative of the overall population of Internet users 16 years old and older. To estimate the contingent of the population that is represented by the respondents of the panel, an estimation procedure based on propensity scores</w:t>
      </w:r>
      <w:r w:rsidR="00C22228">
        <w:rPr>
          <w:lang w:val="en-US"/>
        </w:rPr>
        <w:t xml:space="preserve"> was adopted</w:t>
      </w:r>
      <w:r>
        <w:rPr>
          <w:lang w:val="en-US"/>
        </w:rPr>
        <w:t xml:space="preserve">. In this methodology, the propensity </w:t>
      </w:r>
      <w:r w:rsidR="00F26F6A">
        <w:rPr>
          <w:lang w:val="en-US"/>
        </w:rPr>
        <w:t xml:space="preserve">scores </w:t>
      </w:r>
      <w:r w:rsidR="00AC4841">
        <w:rPr>
          <w:lang w:val="en-US"/>
        </w:rPr>
        <w:t xml:space="preserve">for </w:t>
      </w:r>
      <w:r>
        <w:rPr>
          <w:lang w:val="en-US"/>
        </w:rPr>
        <w:t xml:space="preserve">being an Internet user </w:t>
      </w:r>
      <w:r w:rsidR="00AC4841">
        <w:rPr>
          <w:lang w:val="en-US"/>
        </w:rPr>
        <w:t xml:space="preserve">were </w:t>
      </w:r>
      <w:r>
        <w:rPr>
          <w:lang w:val="en-US"/>
        </w:rPr>
        <w:t xml:space="preserve">initially calculated according to socioeconomic variables based on the last available ICT Households survey. Then, this same model was used to estimate propensity scores for ICT Panel respondents. </w:t>
      </w:r>
    </w:p>
    <w:p w14:paraId="6342BB99" w14:textId="3E21B2CC" w:rsidR="00EB56D5" w:rsidRPr="00CB681B" w:rsidRDefault="00B956FB" w:rsidP="00EB56D5">
      <w:pPr>
        <w:jc w:val="both"/>
        <w:rPr>
          <w:lang w:val="en-US"/>
        </w:rPr>
      </w:pPr>
      <w:r>
        <w:rPr>
          <w:lang w:val="en-US"/>
        </w:rPr>
        <w:t xml:space="preserve">By comparing the distribution of propensity scores </w:t>
      </w:r>
      <w:r w:rsidR="00AC4841">
        <w:rPr>
          <w:lang w:val="en-US"/>
        </w:rPr>
        <w:t xml:space="preserve">for </w:t>
      </w:r>
      <w:r>
        <w:rPr>
          <w:lang w:val="en-US"/>
        </w:rPr>
        <w:t>the ICT panel with th</w:t>
      </w:r>
      <w:r w:rsidR="007C42D9">
        <w:rPr>
          <w:lang w:val="en-US"/>
        </w:rPr>
        <w:t>e one</w:t>
      </w:r>
      <w:r>
        <w:rPr>
          <w:lang w:val="en-US"/>
        </w:rPr>
        <w:t xml:space="preserve"> verified in the last ICT Household</w:t>
      </w:r>
      <w:r w:rsidR="00AC4841">
        <w:rPr>
          <w:lang w:val="en-US"/>
        </w:rPr>
        <w:t>s</w:t>
      </w:r>
      <w:r>
        <w:rPr>
          <w:lang w:val="en-US"/>
        </w:rPr>
        <w:t xml:space="preserve"> survey, it </w:t>
      </w:r>
      <w:r w:rsidR="007C42D9">
        <w:rPr>
          <w:lang w:val="en-US"/>
        </w:rPr>
        <w:t>was</w:t>
      </w:r>
      <w:r>
        <w:rPr>
          <w:lang w:val="en-US"/>
        </w:rPr>
        <w:t xml:space="preserve"> possible to determine which part of the population</w:t>
      </w:r>
      <w:r w:rsidR="003215FF">
        <w:rPr>
          <w:lang w:val="en-US"/>
        </w:rPr>
        <w:t xml:space="preserve"> (or all of it)</w:t>
      </w:r>
      <w:r>
        <w:rPr>
          <w:lang w:val="en-US"/>
        </w:rPr>
        <w:t xml:space="preserve"> of Internet users 16 years old or older from the last ICT Household</w:t>
      </w:r>
      <w:r w:rsidR="005F58B7">
        <w:rPr>
          <w:lang w:val="en-US"/>
        </w:rPr>
        <w:t>s</w:t>
      </w:r>
      <w:r>
        <w:rPr>
          <w:lang w:val="en-US"/>
        </w:rPr>
        <w:t xml:space="preserve"> survey could be considered represented by the ICT Panel respondents. This is equivalent to estimating the panel's coverage error </w:t>
      </w:r>
      <w:r w:rsidR="007C42D9">
        <w:rPr>
          <w:lang w:val="en-US"/>
        </w:rPr>
        <w:t>relative to</w:t>
      </w:r>
      <w:r>
        <w:rPr>
          <w:lang w:val="en-US"/>
        </w:rPr>
        <w:t xml:space="preserve"> the target population initially considered for the survey. </w:t>
      </w:r>
    </w:p>
    <w:p w14:paraId="1223D525" w14:textId="552C0522" w:rsidR="00EB56D5" w:rsidRPr="00CB681B" w:rsidRDefault="00B956FB" w:rsidP="00EB56D5">
      <w:pPr>
        <w:jc w:val="both"/>
        <w:rPr>
          <w:lang w:val="en-US"/>
        </w:rPr>
      </w:pPr>
      <w:r>
        <w:rPr>
          <w:lang w:val="en-US"/>
        </w:rPr>
        <w:t xml:space="preserve">From this comparison, a cut-off point </w:t>
      </w:r>
      <w:r w:rsidR="007C42D9">
        <w:rPr>
          <w:lang w:val="en-US"/>
        </w:rPr>
        <w:t>was</w:t>
      </w:r>
      <w:r>
        <w:rPr>
          <w:lang w:val="en-US"/>
        </w:rPr>
        <w:t xml:space="preserve"> established that determine</w:t>
      </w:r>
      <w:r w:rsidR="007C42D9">
        <w:rPr>
          <w:lang w:val="en-US"/>
        </w:rPr>
        <w:t>d</w:t>
      </w:r>
      <w:r>
        <w:rPr>
          <w:lang w:val="en-US"/>
        </w:rPr>
        <w:t>, on the basis of the last ICT Household</w:t>
      </w:r>
      <w:r w:rsidR="002079A4">
        <w:rPr>
          <w:lang w:val="en-US"/>
        </w:rPr>
        <w:t>s</w:t>
      </w:r>
      <w:r>
        <w:rPr>
          <w:lang w:val="en-US"/>
        </w:rPr>
        <w:t xml:space="preserve"> survey, the set of investigated units whose propensity scores seem</w:t>
      </w:r>
      <w:r w:rsidR="007C42D9">
        <w:rPr>
          <w:lang w:val="en-US"/>
        </w:rPr>
        <w:t>ed</w:t>
      </w:r>
      <w:r>
        <w:rPr>
          <w:lang w:val="en-US"/>
        </w:rPr>
        <w:t xml:space="preserve"> well represented by the ICT Panel respondents. </w:t>
      </w:r>
    </w:p>
    <w:p w14:paraId="03B4A9E3" w14:textId="5F930129" w:rsidR="00EB56D5" w:rsidRPr="00CB681B" w:rsidRDefault="00B956FB" w:rsidP="00EB56D5">
      <w:pPr>
        <w:jc w:val="both"/>
        <w:rPr>
          <w:lang w:val="en-US"/>
        </w:rPr>
      </w:pPr>
      <w:r>
        <w:rPr>
          <w:lang w:val="en-US"/>
        </w:rPr>
        <w:t>This procedure aim</w:t>
      </w:r>
      <w:r w:rsidR="00E52AAA">
        <w:rPr>
          <w:lang w:val="en-US"/>
        </w:rPr>
        <w:t>ed</w:t>
      </w:r>
      <w:r>
        <w:rPr>
          <w:lang w:val="en-US"/>
        </w:rPr>
        <w:t xml:space="preserve"> to determine the population represented by the ICT Panel and consider, for the purpose of comparing results, </w:t>
      </w:r>
      <w:r w:rsidR="00F26FCF">
        <w:rPr>
          <w:lang w:val="en-US"/>
        </w:rPr>
        <w:t xml:space="preserve">that </w:t>
      </w:r>
      <w:r>
        <w:rPr>
          <w:lang w:val="en-US"/>
        </w:rPr>
        <w:t xml:space="preserve">this same population </w:t>
      </w:r>
      <w:r w:rsidR="00E52AAA">
        <w:rPr>
          <w:lang w:val="en-US"/>
        </w:rPr>
        <w:t>was</w:t>
      </w:r>
      <w:r w:rsidR="00F26FCF">
        <w:rPr>
          <w:lang w:val="en-US"/>
        </w:rPr>
        <w:t xml:space="preserve"> </w:t>
      </w:r>
      <w:r>
        <w:rPr>
          <w:lang w:val="en-US"/>
        </w:rPr>
        <w:t>among Internet users in the last ICT Household</w:t>
      </w:r>
      <w:r w:rsidR="001F38B6">
        <w:rPr>
          <w:lang w:val="en-US"/>
        </w:rPr>
        <w:t>s</w:t>
      </w:r>
      <w:r>
        <w:rPr>
          <w:lang w:val="en-US"/>
        </w:rPr>
        <w:t xml:space="preserve"> survey.</w:t>
      </w:r>
    </w:p>
    <w:p w14:paraId="44E61AD8" w14:textId="01D8C681" w:rsidR="00EB56D5" w:rsidRPr="00CB681B" w:rsidRDefault="00B956FB" w:rsidP="00EB56D5">
      <w:pPr>
        <w:jc w:val="both"/>
        <w:rPr>
          <w:lang w:val="en-US"/>
        </w:rPr>
      </w:pPr>
      <w:r>
        <w:rPr>
          <w:lang w:val="en-US"/>
        </w:rPr>
        <w:t xml:space="preserve">The process of determining this population </w:t>
      </w:r>
      <w:r w:rsidR="00F26F6A">
        <w:rPr>
          <w:lang w:val="en-US"/>
        </w:rPr>
        <w:t xml:space="preserve">followed </w:t>
      </w:r>
      <w:r>
        <w:rPr>
          <w:lang w:val="en-US"/>
        </w:rPr>
        <w:t>four steps:</w:t>
      </w:r>
    </w:p>
    <w:p w14:paraId="4AA09ED8" w14:textId="25A05E48" w:rsidR="00EB56D5" w:rsidRPr="00CB681B" w:rsidRDefault="00B956FB" w:rsidP="00EB56D5">
      <w:pPr>
        <w:pStyle w:val="PargrafodaLista"/>
        <w:numPr>
          <w:ilvl w:val="0"/>
          <w:numId w:val="3"/>
        </w:numPr>
        <w:spacing w:after="160" w:line="259" w:lineRule="auto"/>
        <w:jc w:val="both"/>
        <w:rPr>
          <w:lang w:val="en-US"/>
        </w:rPr>
      </w:pPr>
      <w:r>
        <w:rPr>
          <w:lang w:val="en-US"/>
        </w:rPr>
        <w:t xml:space="preserve">Population totals update of the latest ICT Households survey </w:t>
      </w:r>
      <w:r w:rsidR="00F26F6A">
        <w:rPr>
          <w:lang w:val="en-US"/>
        </w:rPr>
        <w:t>using the</w:t>
      </w:r>
      <w:r>
        <w:rPr>
          <w:lang w:val="en-US"/>
        </w:rPr>
        <w:t xml:space="preserve"> totals </w:t>
      </w:r>
      <w:r w:rsidR="00F26FCF">
        <w:rPr>
          <w:lang w:val="en-US"/>
        </w:rPr>
        <w:t xml:space="preserve">for </w:t>
      </w:r>
      <w:r>
        <w:rPr>
          <w:lang w:val="en-US"/>
        </w:rPr>
        <w:t xml:space="preserve">the last quarter released by </w:t>
      </w:r>
      <w:r w:rsidR="00F26FCF">
        <w:rPr>
          <w:lang w:val="en-US"/>
        </w:rPr>
        <w:t xml:space="preserve">the </w:t>
      </w:r>
      <w:r>
        <w:rPr>
          <w:lang w:val="en-US"/>
        </w:rPr>
        <w:t>Continuous PNAD carried out by IBGE.</w:t>
      </w:r>
    </w:p>
    <w:p w14:paraId="0EFA9E29" w14:textId="07146FC5" w:rsidR="00EB56D5" w:rsidRPr="00CB681B" w:rsidRDefault="00B956FB" w:rsidP="00EB56D5">
      <w:pPr>
        <w:pStyle w:val="PargrafodaLista"/>
        <w:numPr>
          <w:ilvl w:val="0"/>
          <w:numId w:val="3"/>
        </w:numPr>
        <w:spacing w:after="160" w:line="259" w:lineRule="auto"/>
        <w:jc w:val="both"/>
        <w:rPr>
          <w:lang w:val="en-US"/>
        </w:rPr>
      </w:pPr>
      <w:r>
        <w:rPr>
          <w:lang w:val="en-US"/>
        </w:rPr>
        <w:t xml:space="preserve">Logistic regression model adjustment with "Internet user" as the response variable and a set of socioeconomic factors common to </w:t>
      </w:r>
      <w:r w:rsidR="004E7D72">
        <w:rPr>
          <w:lang w:val="en-US"/>
        </w:rPr>
        <w:t>the ICT Households survey</w:t>
      </w:r>
      <w:r>
        <w:rPr>
          <w:lang w:val="en-US"/>
        </w:rPr>
        <w:t xml:space="preserve"> and the ICT Panel as explanatory variables. </w:t>
      </w:r>
      <w:r>
        <w:rPr>
          <w:lang w:val="en-US"/>
        </w:rPr>
        <w:lastRenderedPageBreak/>
        <w:t xml:space="preserve">This model was then used to estimate the propensity scores </w:t>
      </w:r>
      <w:r w:rsidR="004E7D72">
        <w:rPr>
          <w:lang w:val="en-US"/>
        </w:rPr>
        <w:t xml:space="preserve">for </w:t>
      </w:r>
      <w:r>
        <w:rPr>
          <w:lang w:val="en-US"/>
        </w:rPr>
        <w:t>being an Internet user for the respondents of the latest ICT Household</w:t>
      </w:r>
      <w:r w:rsidR="004E7D72">
        <w:rPr>
          <w:lang w:val="en-US"/>
        </w:rPr>
        <w:t>s</w:t>
      </w:r>
      <w:r>
        <w:rPr>
          <w:lang w:val="en-US"/>
        </w:rPr>
        <w:t xml:space="preserve"> survey.</w:t>
      </w:r>
    </w:p>
    <w:p w14:paraId="3F924EA1" w14:textId="1EF673BA" w:rsidR="00EB56D5" w:rsidRPr="00CB681B" w:rsidRDefault="00B956FB" w:rsidP="00EB56D5">
      <w:pPr>
        <w:pStyle w:val="PargrafodaLista"/>
        <w:numPr>
          <w:ilvl w:val="0"/>
          <w:numId w:val="3"/>
        </w:numPr>
        <w:spacing w:after="160" w:line="259" w:lineRule="auto"/>
        <w:jc w:val="both"/>
        <w:rPr>
          <w:lang w:val="en-US"/>
        </w:rPr>
      </w:pPr>
      <w:r>
        <w:rPr>
          <w:lang w:val="en-US"/>
        </w:rPr>
        <w:t>Estimation of propensity scores for ICT panel respondents based on the model adjusted with data from the last ICT Household</w:t>
      </w:r>
      <w:r w:rsidR="00C251D5">
        <w:rPr>
          <w:lang w:val="en-US"/>
        </w:rPr>
        <w:t>s</w:t>
      </w:r>
      <w:r>
        <w:rPr>
          <w:lang w:val="en-US"/>
        </w:rPr>
        <w:t xml:space="preserve"> survey.</w:t>
      </w:r>
    </w:p>
    <w:p w14:paraId="6ADF581E" w14:textId="298BD4DF" w:rsidR="00EB56D5" w:rsidRPr="00CB681B" w:rsidRDefault="00B956FB" w:rsidP="00EB56D5">
      <w:pPr>
        <w:pStyle w:val="PargrafodaLista"/>
        <w:numPr>
          <w:ilvl w:val="0"/>
          <w:numId w:val="3"/>
        </w:numPr>
        <w:spacing w:after="160" w:line="259" w:lineRule="auto"/>
        <w:jc w:val="both"/>
        <w:rPr>
          <w:lang w:val="en-US"/>
        </w:rPr>
      </w:pPr>
      <w:r>
        <w:rPr>
          <w:lang w:val="en-US"/>
        </w:rPr>
        <w:t>Determination of the cut-off point that separates in the sample</w:t>
      </w:r>
      <w:r w:rsidR="003243BC">
        <w:rPr>
          <w:lang w:val="en-US"/>
        </w:rPr>
        <w:t>s of both</w:t>
      </w:r>
      <w:r>
        <w:rPr>
          <w:lang w:val="en-US"/>
        </w:rPr>
        <w:t xml:space="preserve"> the last ICT Households and the ICT Panel the portion of the population to be represented.</w:t>
      </w:r>
    </w:p>
    <w:p w14:paraId="7CBFA79A" w14:textId="4E12DC07" w:rsidR="00EB56D5" w:rsidRPr="00CB681B" w:rsidRDefault="00B956FB" w:rsidP="00EB56D5">
      <w:pPr>
        <w:jc w:val="both"/>
        <w:rPr>
          <w:i/>
          <w:iCs/>
          <w:lang w:val="en-US"/>
        </w:rPr>
      </w:pPr>
      <w:r>
        <w:rPr>
          <w:i/>
          <w:iCs/>
          <w:lang w:val="en-US"/>
        </w:rPr>
        <w:t xml:space="preserve">Step I. Updating population totals from the latest ICT Households survey for the quarter most recently released by </w:t>
      </w:r>
      <w:r w:rsidR="00CC23E1">
        <w:rPr>
          <w:i/>
          <w:iCs/>
          <w:lang w:val="en-US"/>
        </w:rPr>
        <w:t xml:space="preserve">the </w:t>
      </w:r>
      <w:r>
        <w:rPr>
          <w:i/>
          <w:iCs/>
          <w:lang w:val="en-US"/>
        </w:rPr>
        <w:t xml:space="preserve">Continuous </w:t>
      </w:r>
      <w:r w:rsidR="00561E51">
        <w:rPr>
          <w:i/>
          <w:iCs/>
          <w:lang w:val="en-US"/>
        </w:rPr>
        <w:t>PNAD</w:t>
      </w:r>
    </w:p>
    <w:p w14:paraId="5F8DC211" w14:textId="6F7B04EF" w:rsidR="00EB56D5" w:rsidRPr="00CB681B" w:rsidRDefault="00B956FB" w:rsidP="00EB56D5">
      <w:pPr>
        <w:jc w:val="both"/>
        <w:rPr>
          <w:lang w:val="en-US"/>
        </w:rPr>
      </w:pPr>
      <w:r>
        <w:rPr>
          <w:lang w:val="en-US"/>
        </w:rPr>
        <w:t xml:space="preserve">The objective of this step </w:t>
      </w:r>
      <w:r w:rsidR="00C56477">
        <w:rPr>
          <w:lang w:val="en-US"/>
        </w:rPr>
        <w:t xml:space="preserve">was </w:t>
      </w:r>
      <w:r>
        <w:rPr>
          <w:lang w:val="en-US"/>
        </w:rPr>
        <w:t>to update the population estimates for the population 10 years old or older from the last ICT Household</w:t>
      </w:r>
      <w:r w:rsidR="005F58B7">
        <w:rPr>
          <w:lang w:val="en-US"/>
        </w:rPr>
        <w:t>s</w:t>
      </w:r>
      <w:r>
        <w:rPr>
          <w:lang w:val="en-US"/>
        </w:rPr>
        <w:t xml:space="preserve"> survey, based on data released by IBGE in the last Continuous </w:t>
      </w:r>
      <w:r w:rsidR="00561E51">
        <w:rPr>
          <w:lang w:val="en-US"/>
        </w:rPr>
        <w:t>PNAD</w:t>
      </w:r>
      <w:r>
        <w:rPr>
          <w:lang w:val="en-US"/>
        </w:rPr>
        <w:t>. The calculations update</w:t>
      </w:r>
      <w:r w:rsidR="00C56477">
        <w:rPr>
          <w:lang w:val="en-US"/>
        </w:rPr>
        <w:t>d</w:t>
      </w:r>
      <w:r>
        <w:rPr>
          <w:lang w:val="en-US"/>
        </w:rPr>
        <w:t xml:space="preserve"> the total population 10 years old </w:t>
      </w:r>
      <w:r w:rsidR="00561E51">
        <w:rPr>
          <w:lang w:val="en-US"/>
        </w:rPr>
        <w:t xml:space="preserve">or </w:t>
      </w:r>
      <w:r>
        <w:rPr>
          <w:lang w:val="en-US"/>
        </w:rPr>
        <w:t xml:space="preserve">older from the estimates reported in the Continuous </w:t>
      </w:r>
      <w:r w:rsidR="00D558AC">
        <w:rPr>
          <w:lang w:val="en-US"/>
        </w:rPr>
        <w:t>PNAD</w:t>
      </w:r>
      <w:r>
        <w:rPr>
          <w:lang w:val="en-US"/>
        </w:rPr>
        <w:t xml:space="preserve"> microdata. Then, following the same percentage distribution of the calibrators used in the last ICT </w:t>
      </w:r>
      <w:r w:rsidR="005F58B7">
        <w:rPr>
          <w:lang w:val="en-US"/>
        </w:rPr>
        <w:t>H</w:t>
      </w:r>
      <w:r>
        <w:rPr>
          <w:lang w:val="en-US"/>
        </w:rPr>
        <w:t>ouseholds survey, the weights of the survey were updated again according to the new totals of the marginal distributions of the variables considered in the calibration.</w:t>
      </w:r>
    </w:p>
    <w:p w14:paraId="2A589130" w14:textId="5D7936B7" w:rsidR="00EB56D5" w:rsidRPr="00CB681B" w:rsidRDefault="00B956FB" w:rsidP="004F7A80">
      <w:pPr>
        <w:keepNext/>
        <w:jc w:val="both"/>
        <w:rPr>
          <w:i/>
          <w:iCs/>
          <w:lang w:val="en-US"/>
        </w:rPr>
      </w:pPr>
      <w:r>
        <w:rPr>
          <w:i/>
          <w:iCs/>
          <w:lang w:val="en-US"/>
        </w:rPr>
        <w:t>Step II. Adjust</w:t>
      </w:r>
      <w:r w:rsidR="00182759">
        <w:rPr>
          <w:i/>
          <w:iCs/>
          <w:lang w:val="en-US"/>
        </w:rPr>
        <w:t>ment</w:t>
      </w:r>
      <w:r>
        <w:rPr>
          <w:i/>
          <w:iCs/>
          <w:lang w:val="en-US"/>
        </w:rPr>
        <w:t xml:space="preserve"> of the logistic regression model for the variable "Internet user" among respondents 16 years old or older in ICT Households</w:t>
      </w:r>
    </w:p>
    <w:p w14:paraId="22C6B309" w14:textId="22C8155B" w:rsidR="00EB56D5" w:rsidRPr="00CB681B" w:rsidRDefault="00B956FB" w:rsidP="00EB56D5">
      <w:pPr>
        <w:jc w:val="both"/>
        <w:rPr>
          <w:lang w:val="en-US"/>
        </w:rPr>
      </w:pPr>
      <w:r>
        <w:rPr>
          <w:lang w:val="en-US"/>
        </w:rPr>
        <w:t xml:space="preserve">This step </w:t>
      </w:r>
      <w:r w:rsidR="00C56477">
        <w:rPr>
          <w:lang w:val="en-US"/>
        </w:rPr>
        <w:t xml:space="preserve">sought </w:t>
      </w:r>
      <w:r>
        <w:rPr>
          <w:lang w:val="en-US"/>
        </w:rPr>
        <w:t xml:space="preserve">to make a quality estimate of the probability of an individual being an Internet user based on </w:t>
      </w:r>
      <w:r w:rsidR="00C56477">
        <w:rPr>
          <w:lang w:val="en-US"/>
        </w:rPr>
        <w:t xml:space="preserve">the </w:t>
      </w:r>
      <w:r>
        <w:rPr>
          <w:lang w:val="en-US"/>
        </w:rPr>
        <w:t xml:space="preserve">socioeconomic variables observed in the last ICT Households survey </w:t>
      </w:r>
      <w:r w:rsidR="00C56477">
        <w:rPr>
          <w:lang w:val="en-US"/>
        </w:rPr>
        <w:t>that</w:t>
      </w:r>
      <w:r w:rsidR="00E52AAA">
        <w:rPr>
          <w:lang w:val="en-US"/>
        </w:rPr>
        <w:t xml:space="preserve"> were</w:t>
      </w:r>
      <w:r>
        <w:rPr>
          <w:lang w:val="en-US"/>
        </w:rPr>
        <w:t xml:space="preserve"> also available in the ICT Panel. Several models were tested to obtain a parsimonious model that g</w:t>
      </w:r>
      <w:r w:rsidR="00E52AAA">
        <w:rPr>
          <w:lang w:val="en-US"/>
        </w:rPr>
        <w:t>ave</w:t>
      </w:r>
      <w:r>
        <w:rPr>
          <w:lang w:val="en-US"/>
        </w:rPr>
        <w:t xml:space="preserve"> good re</w:t>
      </w:r>
      <w:r w:rsidR="000338D4">
        <w:rPr>
          <w:lang w:val="en-US"/>
        </w:rPr>
        <w:t>s</w:t>
      </w:r>
      <w:r>
        <w:rPr>
          <w:lang w:val="en-US"/>
        </w:rPr>
        <w:t>ults in estimating Internet users, according to Formula 1.</w:t>
      </w:r>
    </w:p>
    <w:p w14:paraId="3BCF1685" w14:textId="77777777" w:rsidR="001F5A52" w:rsidRPr="00CB681B" w:rsidRDefault="00B956FB" w:rsidP="00EB56D5">
      <w:pPr>
        <w:jc w:val="both"/>
        <w:rPr>
          <w:b/>
          <w:bCs/>
          <w:lang w:val="en-US"/>
        </w:rPr>
      </w:pPr>
      <w:r w:rsidRPr="00412577">
        <w:rPr>
          <w:b/>
          <w:bCs/>
          <w:lang w:val="en-US"/>
        </w:rPr>
        <w:t>Formula 1</w:t>
      </w:r>
    </w:p>
    <w:p w14:paraId="129FB347" w14:textId="77777777" w:rsidR="00EB56D5" w:rsidRPr="00CB681B" w:rsidRDefault="00EB56D5" w:rsidP="00EB56D5">
      <w:pPr>
        <w:jc w:val="both"/>
        <w:rPr>
          <w:lang w:val="en-US"/>
        </w:rPr>
      </w:pPr>
    </w:p>
    <w:p w14:paraId="13AD5ECC" w14:textId="77777777" w:rsidR="00EB56D5" w:rsidRPr="00CB681B" w:rsidRDefault="00B956FB" w:rsidP="00EB56D5">
      <w:pPr>
        <w:jc w:val="both"/>
        <w:rPr>
          <w:rFonts w:eastAsiaTheme="minorEastAsia"/>
          <w:lang w:val="en-US"/>
        </w:rPr>
      </w:pPr>
      <m:oMathPara>
        <m:oMath>
          <m:r>
            <w:rPr>
              <w:rFonts w:ascii="Cambria Math" w:hAnsi="Cambria Math"/>
            </w:rPr>
            <m:t>log</m:t>
          </m:r>
          <m:d>
            <m:dPr>
              <m:ctrlPr>
                <w:rPr>
                  <w:rFonts w:ascii="Cambria Math" w:hAnsi="Cambria Math"/>
                  <w:i/>
                </w:rPr>
              </m:ctrlPr>
            </m:dPr>
            <m:e>
              <m:f>
                <m:fPr>
                  <m:ctrlPr>
                    <w:rPr>
                      <w:rFonts w:ascii="Cambria Math" w:hAnsi="Cambria Math"/>
                      <w:i/>
                    </w:rPr>
                  </m:ctrlPr>
                </m:fPr>
                <m:num>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lang w:val="en-US"/>
                        </w:rPr>
                        <m:t>=1</m:t>
                      </m:r>
                    </m:e>
                  </m:d>
                </m:num>
                <m:den>
                  <m:r>
                    <w:rPr>
                      <w:rFonts w:ascii="Cambria Math" w:hAnsi="Cambria Math"/>
                      <w:lang w:val="en-US"/>
                    </w:rPr>
                    <m:t>1-</m:t>
                  </m:r>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lang w:val="en-US"/>
                        </w:rPr>
                        <m:t>=1</m:t>
                      </m:r>
                    </m:e>
                  </m:d>
                </m:den>
              </m:f>
            </m:e>
          </m:d>
          <m:r>
            <w:rPr>
              <w:rFonts w:ascii="Cambria Math" w:hAnsi="Cambria Math"/>
              <w:lang w:val="en-US"/>
            </w:rPr>
            <m:t>=</m:t>
          </m:r>
          <m:r>
            <w:rPr>
              <w:rFonts w:ascii="Cambria Math" w:hAnsi="Cambria Math"/>
            </w:rPr>
            <m:t>α</m:t>
          </m:r>
          <m:r>
            <w:rPr>
              <w:rFonts w:ascii="Cambria Math" w:hAnsi="Cambria Math"/>
              <w:lang w:val="en-US"/>
            </w:rPr>
            <m:t>+</m:t>
          </m:r>
          <m:r>
            <m:rPr>
              <m:nor/>
            </m:rPr>
            <w:rPr>
              <w:rFonts w:ascii="Cambria Math" w:hAnsi="Cambria Math"/>
              <w:b/>
              <w:bCs/>
            </w:rPr>
            <m:t>β</m:t>
          </m:r>
          <m:sSub>
            <m:sSubPr>
              <m:ctrlPr>
                <w:rPr>
                  <w:rFonts w:ascii="Cambria Math" w:hAnsi="Cambria Math"/>
                  <w:i/>
                </w:rPr>
              </m:ctrlPr>
            </m:sSubPr>
            <m:e>
              <m:r>
                <m:rPr>
                  <m:nor/>
                </m:rPr>
                <w:rPr>
                  <w:rFonts w:ascii="Cambria Math" w:hAnsi="Cambria Math"/>
                  <w:b/>
                  <w:bCs/>
                  <w:lang w:val="en-US"/>
                </w:rPr>
                <m:t>X</m:t>
              </m:r>
            </m:e>
            <m:sub>
              <m:r>
                <w:rPr>
                  <w:rFonts w:ascii="Cambria Math" w:hAnsi="Cambria Math"/>
                </w:rPr>
                <m:t>i</m:t>
              </m:r>
            </m:sub>
          </m:sSub>
        </m:oMath>
      </m:oMathPara>
    </w:p>
    <w:p w14:paraId="7D1A6DD4" w14:textId="77777777" w:rsidR="001F5A52" w:rsidRPr="00CB681B" w:rsidRDefault="001F5A52" w:rsidP="00EB56D5">
      <w:pPr>
        <w:jc w:val="both"/>
        <w:rPr>
          <w:rFonts w:eastAsiaTheme="minorEastAsia"/>
          <w:lang w:val="en-US"/>
        </w:rPr>
      </w:pPr>
    </w:p>
    <w:p w14:paraId="79F46748" w14:textId="5DE38229" w:rsidR="00EB56D5" w:rsidRPr="00CB681B" w:rsidRDefault="001F3488" w:rsidP="00EB56D5">
      <w:pPr>
        <w:jc w:val="both"/>
        <w:rPr>
          <w:rFonts w:eastAsiaTheme="minorEastAsia"/>
          <w:lang w:val="en-US"/>
        </w:rPr>
      </w:pPr>
      <m:oMath>
        <m:sSub>
          <m:sSubPr>
            <m:ctrlPr>
              <w:rPr>
                <w:rFonts w:ascii="Cambria Math" w:hAnsi="Cambria Math"/>
                <w:i/>
              </w:rPr>
            </m:ctrlPr>
          </m:sSubPr>
          <m:e>
            <m:r>
              <w:rPr>
                <w:rFonts w:ascii="Cambria Math" w:hAnsi="Cambria Math"/>
                <w:lang w:val="en-US"/>
              </w:rPr>
              <m:t>Y</m:t>
            </m:r>
          </m:e>
          <m:sub>
            <m:r>
              <w:rPr>
                <w:rFonts w:ascii="Cambria Math" w:hAnsi="Cambria Math"/>
                <w:lang w:val="en-US"/>
              </w:rPr>
              <m:t>i</m:t>
            </m:r>
          </m:sub>
        </m:sSub>
      </m:oMath>
      <w:r w:rsidR="00B956FB">
        <w:rPr>
          <w:rFonts w:eastAsiaTheme="minorEastAsia"/>
          <w:lang w:val="en-US"/>
        </w:rPr>
        <w:t xml:space="preserve"> is an indicator variable, taking </w:t>
      </w:r>
      <w:r w:rsidR="00235586">
        <w:rPr>
          <w:rFonts w:eastAsiaTheme="minorEastAsia"/>
          <w:lang w:val="en-US"/>
        </w:rPr>
        <w:t xml:space="preserve">the </w:t>
      </w:r>
      <w:r w:rsidR="00B956FB">
        <w:rPr>
          <w:rFonts w:eastAsiaTheme="minorEastAsia"/>
          <w:lang w:val="en-US"/>
        </w:rPr>
        <w:t xml:space="preserve">value 1 if individual </w:t>
      </w:r>
      <w:proofErr w:type="spellStart"/>
      <w:r w:rsidR="00B956FB">
        <w:rPr>
          <w:rFonts w:eastAsiaTheme="minorEastAsia"/>
          <w:i/>
          <w:iCs/>
          <w:lang w:val="en-US"/>
        </w:rPr>
        <w:t>i</w:t>
      </w:r>
      <w:proofErr w:type="spellEnd"/>
      <w:r w:rsidR="00B956FB">
        <w:rPr>
          <w:rFonts w:eastAsiaTheme="minorEastAsia"/>
          <w:lang w:val="en-US"/>
        </w:rPr>
        <w:t xml:space="preserve"> is an Internet user, </w:t>
      </w:r>
      <w:r w:rsidR="00235586">
        <w:rPr>
          <w:rFonts w:eastAsiaTheme="minorEastAsia"/>
          <w:lang w:val="en-US"/>
        </w:rPr>
        <w:t xml:space="preserve">and the </w:t>
      </w:r>
      <w:r w:rsidR="00B956FB">
        <w:rPr>
          <w:rFonts w:eastAsiaTheme="minorEastAsia"/>
          <w:lang w:val="en-US"/>
        </w:rPr>
        <w:t>value 0 otherwise</w:t>
      </w:r>
      <w:r w:rsidR="00235586">
        <w:rPr>
          <w:rFonts w:eastAsiaTheme="minorEastAsia"/>
          <w:lang w:val="en-US"/>
        </w:rPr>
        <w:t>.</w:t>
      </w:r>
      <w:r w:rsidR="00B956FB">
        <w:rPr>
          <w:rFonts w:eastAsiaTheme="minorEastAsia"/>
          <w:lang w:val="en-US"/>
        </w:rPr>
        <w:t xml:space="preserve"> </w:t>
      </w:r>
    </w:p>
    <w:p w14:paraId="302B2C5E" w14:textId="7C05416C" w:rsidR="00EB56D5" w:rsidRPr="00CB681B" w:rsidRDefault="001F3488" w:rsidP="00EB56D5">
      <w:pPr>
        <w:jc w:val="both"/>
        <w:rPr>
          <w:rFonts w:eastAsiaTheme="minorEastAsia"/>
          <w:lang w:val="en-US"/>
        </w:rPr>
      </w:pPr>
      <m:oMath>
        <m:sSub>
          <m:sSubPr>
            <m:ctrlPr>
              <w:rPr>
                <w:rFonts w:ascii="Cambria Math" w:hAnsi="Cambria Math"/>
                <w:i/>
              </w:rPr>
            </m:ctrlPr>
          </m:sSubPr>
          <m:e>
            <m:r>
              <m:rPr>
                <m:sty m:val="b"/>
              </m:rPr>
              <w:rPr>
                <w:rFonts w:ascii="Cambria Math" w:hAnsi="Cambria Math"/>
                <w:lang w:val="en-US"/>
              </w:rPr>
              <m:t>X</m:t>
            </m:r>
          </m:e>
          <m:sub>
            <m:r>
              <w:rPr>
                <w:rFonts w:ascii="Cambria Math" w:hAnsi="Cambria Math"/>
                <w:lang w:val="en-US"/>
              </w:rPr>
              <m:t>i</m:t>
            </m:r>
          </m:sub>
        </m:sSub>
      </m:oMath>
      <w:r w:rsidR="00B956FB">
        <w:rPr>
          <w:rFonts w:eastAsiaTheme="minorEastAsia"/>
          <w:lang w:val="en-US"/>
        </w:rPr>
        <w:t xml:space="preserve"> is a vector with the values of </w:t>
      </w:r>
      <w:r w:rsidR="00235586">
        <w:rPr>
          <w:rFonts w:eastAsiaTheme="minorEastAsia"/>
          <w:lang w:val="en-US"/>
        </w:rPr>
        <w:t xml:space="preserve">the </w:t>
      </w:r>
      <w:r w:rsidR="00B956FB">
        <w:rPr>
          <w:rFonts w:eastAsiaTheme="minorEastAsia"/>
          <w:lang w:val="en-US"/>
        </w:rPr>
        <w:t xml:space="preserve">explanatory variables (gender, age group, education, etc.) of individual </w:t>
      </w:r>
      <w:proofErr w:type="spellStart"/>
      <w:r w:rsidR="00B956FB" w:rsidRPr="000E2336">
        <w:rPr>
          <w:rFonts w:ascii="Cambria" w:eastAsiaTheme="minorEastAsia" w:hAnsi="Cambria"/>
          <w:i/>
          <w:iCs/>
          <w:lang w:val="en-US"/>
        </w:rPr>
        <w:t>i</w:t>
      </w:r>
      <w:proofErr w:type="spellEnd"/>
    </w:p>
    <w:p w14:paraId="0351EBB1" w14:textId="77777777" w:rsidR="00EB56D5" w:rsidRPr="00CB681B" w:rsidRDefault="00B956FB" w:rsidP="00EB56D5">
      <w:pPr>
        <w:jc w:val="both"/>
        <w:rPr>
          <w:rFonts w:eastAsiaTheme="minorEastAsia"/>
          <w:lang w:val="en-US"/>
        </w:rPr>
      </w:pPr>
      <m:oMath>
        <m:r>
          <w:rPr>
            <w:rFonts w:ascii="Cambria Math" w:hAnsi="Cambria Math"/>
            <w:lang w:val="en-US"/>
          </w:rPr>
          <m:t>P</m:t>
        </m:r>
        <m:d>
          <m:dPr>
            <m:ctrlPr>
              <w:rPr>
                <w:rFonts w:ascii="Cambria Math" w:hAnsi="Cambria Math"/>
                <w:i/>
              </w:rPr>
            </m:ctrlPr>
          </m:dPr>
          <m:e>
            <m:sSub>
              <m:sSubPr>
                <m:ctrlPr>
                  <w:rPr>
                    <w:rFonts w:ascii="Cambria Math" w:hAnsi="Cambria Math"/>
                    <w:i/>
                  </w:rPr>
                </m:ctrlPr>
              </m:sSubPr>
              <m:e>
                <m:r>
                  <w:rPr>
                    <w:rFonts w:ascii="Cambria Math" w:hAnsi="Cambria Math"/>
                    <w:lang w:val="en-US"/>
                  </w:rPr>
                  <m:t>Y</m:t>
                </m:r>
              </m:e>
              <m:sub>
                <m:r>
                  <w:rPr>
                    <w:rFonts w:ascii="Cambria Math" w:hAnsi="Cambria Math"/>
                    <w:lang w:val="en-US"/>
                  </w:rPr>
                  <m:t>i</m:t>
                </m:r>
              </m:sub>
            </m:sSub>
            <m:r>
              <w:rPr>
                <w:rFonts w:ascii="Cambria Math" w:hAnsi="Cambria Math"/>
                <w:lang w:val="en-US"/>
              </w:rPr>
              <m:t>=1</m:t>
            </m:r>
          </m:e>
        </m:d>
      </m:oMath>
      <w:r>
        <w:rPr>
          <w:rFonts w:eastAsiaTheme="minorEastAsia"/>
          <w:lang w:val="en-US"/>
        </w:rPr>
        <w:t xml:space="preserve"> represents the probability that an individual is an Internet user </w:t>
      </w:r>
    </w:p>
    <w:p w14:paraId="78CB9B19" w14:textId="77777777" w:rsidR="00EB56D5" w:rsidRPr="00CB681B" w:rsidRDefault="00B956FB" w:rsidP="00EB56D5">
      <w:pPr>
        <w:jc w:val="both"/>
        <w:rPr>
          <w:rFonts w:eastAsiaTheme="minorEastAsia"/>
          <w:lang w:val="en-US"/>
        </w:rPr>
      </w:pPr>
      <m:oMath>
        <m:r>
          <w:rPr>
            <w:rFonts w:ascii="Cambria Math" w:hAnsi="Cambria Math"/>
            <w:lang w:val="en-US"/>
          </w:rPr>
          <m:t>α</m:t>
        </m:r>
      </m:oMath>
      <w:r>
        <w:rPr>
          <w:rFonts w:eastAsiaTheme="minorEastAsia"/>
          <w:lang w:val="en-US"/>
        </w:rPr>
        <w:t xml:space="preserve"> and </w:t>
      </w:r>
      <m:oMath>
        <m:r>
          <m:rPr>
            <m:sty m:val="b"/>
          </m:rPr>
          <w:rPr>
            <w:rFonts w:ascii="Cambria Math" w:hAnsi="Cambria Math"/>
            <w:lang w:val="en-US"/>
          </w:rPr>
          <m:t>β</m:t>
        </m:r>
      </m:oMath>
      <w:r>
        <w:rPr>
          <w:rFonts w:eastAsiaTheme="minorEastAsia"/>
          <w:lang w:val="en-US"/>
        </w:rPr>
        <w:t xml:space="preserve"> are parameters of the model, to be estimated</w:t>
      </w:r>
    </w:p>
    <w:p w14:paraId="3609F7F5" w14:textId="65066E70" w:rsidR="00EB56D5" w:rsidRPr="00CB681B" w:rsidRDefault="00B956FB" w:rsidP="00EB56D5">
      <w:pPr>
        <w:jc w:val="both"/>
        <w:rPr>
          <w:rFonts w:eastAsiaTheme="minorEastAsia"/>
          <w:lang w:val="en-US"/>
        </w:rPr>
      </w:pPr>
      <w:r>
        <w:rPr>
          <w:lang w:val="en-US"/>
        </w:rPr>
        <w:t xml:space="preserve">The estimates for </w:t>
      </w:r>
      <m:oMath>
        <m:r>
          <w:rPr>
            <w:rFonts w:ascii="Cambria Math" w:hAnsi="Cambria Math"/>
            <w:lang w:val="en-US"/>
          </w:rPr>
          <m:t>P</m:t>
        </m:r>
        <m:d>
          <m:dPr>
            <m:ctrlPr>
              <w:rPr>
                <w:rFonts w:ascii="Cambria Math" w:hAnsi="Cambria Math"/>
                <w:i/>
              </w:rPr>
            </m:ctrlPr>
          </m:dPr>
          <m:e>
            <m:sSub>
              <m:sSubPr>
                <m:ctrlPr>
                  <w:rPr>
                    <w:rFonts w:ascii="Cambria Math" w:hAnsi="Cambria Math"/>
                    <w:i/>
                  </w:rPr>
                </m:ctrlPr>
              </m:sSubPr>
              <m:e>
                <m:r>
                  <w:rPr>
                    <w:rFonts w:ascii="Cambria Math" w:hAnsi="Cambria Math"/>
                    <w:lang w:val="en-US"/>
                  </w:rPr>
                  <m:t>Y</m:t>
                </m:r>
              </m:e>
              <m:sub>
                <m:r>
                  <w:rPr>
                    <w:rFonts w:ascii="Cambria Math" w:hAnsi="Cambria Math"/>
                    <w:lang w:val="en-US"/>
                  </w:rPr>
                  <m:t>i</m:t>
                </m:r>
              </m:sub>
            </m:sSub>
            <m:r>
              <w:rPr>
                <w:rFonts w:ascii="Cambria Math" w:hAnsi="Cambria Math"/>
                <w:lang w:val="en-US"/>
              </w:rPr>
              <m:t>=1</m:t>
            </m:r>
          </m:e>
        </m:d>
      </m:oMath>
      <w:r>
        <w:rPr>
          <w:lang w:val="en-US"/>
        </w:rPr>
        <w:t xml:space="preserve"> </w:t>
      </w:r>
      <w:r w:rsidR="00235586">
        <w:rPr>
          <w:lang w:val="en-US"/>
        </w:rPr>
        <w:t xml:space="preserve">are </w:t>
      </w:r>
      <w:r>
        <w:rPr>
          <w:lang w:val="en-US"/>
        </w:rPr>
        <w:t>provided by the expression:</w:t>
      </w:r>
    </w:p>
    <w:p w14:paraId="377A55BC" w14:textId="77777777" w:rsidR="00EB56D5" w:rsidRPr="00CB681B" w:rsidRDefault="001F3488" w:rsidP="00EB56D5">
      <w:pPr>
        <w:jc w:val="both"/>
        <w:rPr>
          <w:rFonts w:eastAsiaTheme="minorEastAsia"/>
          <w:lang w:val="en-US"/>
        </w:rPr>
      </w:pPr>
      <m:oMathPara>
        <m:oMath>
          <m:acc>
            <m:accPr>
              <m:ctrlPr>
                <w:rPr>
                  <w:rFonts w:ascii="Cambria Math" w:hAnsi="Cambria Math"/>
                  <w:i/>
                </w:rPr>
              </m:ctrlPr>
            </m:accPr>
            <m:e>
              <m:r>
                <w:rPr>
                  <w:rFonts w:ascii="Cambria Math" w:hAnsi="Cambria Math"/>
                </w:rPr>
                <m:t>P</m:t>
              </m:r>
            </m:e>
          </m:acc>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lang w:val="en-US"/>
                </w:rPr>
                <m:t>=1</m:t>
              </m:r>
            </m:e>
          </m:d>
          <m:r>
            <w:rPr>
              <w:rFonts w:ascii="Cambria Math" w:hAnsi="Cambria Math"/>
              <w:lang w:val="en-US"/>
            </w:rPr>
            <m:t xml:space="preserve">= </m:t>
          </m:r>
          <m:f>
            <m:fPr>
              <m:ctrlPr>
                <w:rPr>
                  <w:rFonts w:ascii="Cambria Math" w:hAnsi="Cambria Math"/>
                  <w:i/>
                </w:rPr>
              </m:ctrlPr>
            </m:fPr>
            <m:num>
              <m:r>
                <w:rPr>
                  <w:rFonts w:ascii="Cambria Math" w:hAnsi="Cambria Math"/>
                </w:rPr>
                <m:t>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lang w:val="en-US"/>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lang w:val="en-US"/>
                        </w:rPr>
                        <m:t>X</m:t>
                      </m:r>
                    </m:e>
                    <m:sub>
                      <m:r>
                        <w:rPr>
                          <w:rFonts w:ascii="Cambria Math" w:hAnsi="Cambria Math"/>
                        </w:rPr>
                        <m:t>i</m:t>
                      </m:r>
                    </m:sub>
                    <m:sup/>
                  </m:sSubSup>
                </m:e>
              </m:d>
            </m:num>
            <m:den>
              <m:r>
                <w:rPr>
                  <w:rFonts w:ascii="Cambria Math" w:hAnsi="Cambria Math"/>
                  <w:lang w:val="en-US"/>
                </w:rPr>
                <m:t>1+</m:t>
              </m:r>
              <m:r>
                <w:rPr>
                  <w:rFonts w:ascii="Cambria Math" w:hAnsi="Cambria Math"/>
                </w:rPr>
                <m:t>exp</m:t>
              </m:r>
              <m:d>
                <m:dPr>
                  <m:ctrlPr>
                    <w:rPr>
                      <w:rFonts w:ascii="Cambria Math" w:hAnsi="Cambria Math"/>
                      <w:i/>
                    </w:rPr>
                  </m:ctrlPr>
                </m:dPr>
                <m:e>
                  <m:acc>
                    <m:accPr>
                      <m:ctrlPr>
                        <w:rPr>
                          <w:rFonts w:ascii="Cambria Math" w:hAnsi="Cambria Math"/>
                          <w:i/>
                        </w:rPr>
                      </m:ctrlPr>
                    </m:accPr>
                    <m:e>
                      <m:r>
                        <w:rPr>
                          <w:rFonts w:ascii="Cambria Math" w:hAnsi="Cambria Math"/>
                        </w:rPr>
                        <m:t>α</m:t>
                      </m:r>
                    </m:e>
                  </m:acc>
                  <m:r>
                    <w:rPr>
                      <w:rFonts w:ascii="Cambria Math" w:hAnsi="Cambria Math"/>
                      <w:lang w:val="en-US"/>
                    </w:rPr>
                    <m:t>+</m:t>
                  </m:r>
                  <m:acc>
                    <m:accPr>
                      <m:ctrlPr>
                        <w:rPr>
                          <w:rFonts w:ascii="Cambria Math" w:hAnsi="Cambria Math"/>
                          <w:b/>
                          <w:bCs/>
                          <w:iCs/>
                        </w:rPr>
                      </m:ctrlPr>
                    </m:accPr>
                    <m:e>
                      <m:r>
                        <m:rPr>
                          <m:sty m:val="b"/>
                        </m:rPr>
                        <w:rPr>
                          <w:rFonts w:ascii="Cambria Math" w:hAnsi="Cambria Math"/>
                        </w:rPr>
                        <m:t>β</m:t>
                      </m:r>
                    </m:e>
                  </m:acc>
                  <m:sSubSup>
                    <m:sSubSupPr>
                      <m:ctrlPr>
                        <w:rPr>
                          <w:rFonts w:ascii="Cambria Math" w:hAnsi="Cambria Math"/>
                          <w:i/>
                        </w:rPr>
                      </m:ctrlPr>
                    </m:sSubSupPr>
                    <m:e>
                      <m:r>
                        <m:rPr>
                          <m:nor/>
                        </m:rPr>
                        <w:rPr>
                          <w:rFonts w:ascii="Cambria Math" w:hAnsi="Cambria Math"/>
                          <w:b/>
                          <w:bCs/>
                          <w:lang w:val="en-US"/>
                        </w:rPr>
                        <m:t>X</m:t>
                      </m:r>
                    </m:e>
                    <m:sub>
                      <m:r>
                        <w:rPr>
                          <w:rFonts w:ascii="Cambria Math" w:hAnsi="Cambria Math"/>
                        </w:rPr>
                        <m:t>i</m:t>
                      </m:r>
                    </m:sub>
                    <m:sup/>
                  </m:sSubSup>
                </m:e>
              </m:d>
            </m:den>
          </m:f>
        </m:oMath>
      </m:oMathPara>
    </w:p>
    <w:p w14:paraId="6B37DE11" w14:textId="77777777" w:rsidR="00EB56D5" w:rsidRPr="00CB681B" w:rsidRDefault="00B956FB" w:rsidP="00EB56D5">
      <w:pPr>
        <w:jc w:val="both"/>
        <w:rPr>
          <w:lang w:val="en-US"/>
        </w:rPr>
      </w:pPr>
      <w:r>
        <w:rPr>
          <w:rFonts w:eastAsiaTheme="minorEastAsia"/>
          <w:lang w:val="en-US"/>
        </w:rPr>
        <w:t xml:space="preserve">These are the so-called propensity scores considered in the methodology, and </w:t>
      </w:r>
      <m:oMath>
        <m:acc>
          <m:accPr>
            <m:ctrlPr>
              <w:rPr>
                <w:rFonts w:ascii="Cambria Math" w:hAnsi="Cambria Math"/>
                <w:i/>
              </w:rPr>
            </m:ctrlPr>
          </m:accPr>
          <m:e>
            <m:r>
              <w:rPr>
                <w:rFonts w:ascii="Cambria Math" w:hAnsi="Cambria Math"/>
                <w:lang w:val="en-US"/>
              </w:rPr>
              <m:t>α</m:t>
            </m:r>
          </m:e>
        </m:acc>
      </m:oMath>
      <w:r>
        <w:rPr>
          <w:rFonts w:eastAsiaTheme="minorEastAsia"/>
          <w:lang w:val="en-US"/>
        </w:rPr>
        <w:t xml:space="preserve"> and </w:t>
      </w:r>
      <m:oMath>
        <m:acc>
          <m:accPr>
            <m:ctrlPr>
              <w:rPr>
                <w:rFonts w:ascii="Cambria Math" w:hAnsi="Cambria Math"/>
                <w:b/>
                <w:bCs/>
                <w:iCs/>
              </w:rPr>
            </m:ctrlPr>
          </m:accPr>
          <m:e>
            <m:r>
              <m:rPr>
                <m:sty m:val="b"/>
              </m:rPr>
              <w:rPr>
                <w:rFonts w:ascii="Cambria Math" w:hAnsi="Cambria Math"/>
                <w:lang w:val="en-US"/>
              </w:rPr>
              <m:t>β</m:t>
            </m:r>
          </m:e>
        </m:acc>
      </m:oMath>
      <w:r>
        <w:rPr>
          <w:rFonts w:eastAsiaTheme="minorEastAsia"/>
          <w:lang w:val="en-US"/>
        </w:rPr>
        <w:t xml:space="preserve"> are the estimates of the parameters obtained based on the adjusted model.</w:t>
      </w:r>
    </w:p>
    <w:p w14:paraId="594F2B09" w14:textId="68284E9B" w:rsidR="00EB56D5" w:rsidRPr="00CB681B" w:rsidRDefault="00B956FB" w:rsidP="00AF5AA5">
      <w:pPr>
        <w:jc w:val="both"/>
        <w:rPr>
          <w:rFonts w:ascii="Calibri" w:eastAsia="Times New Roman" w:hAnsi="Calibri" w:cs="Times New Roman"/>
          <w:color w:val="000000"/>
          <w:sz w:val="18"/>
          <w:szCs w:val="18"/>
          <w:lang w:val="en-US" w:eastAsia="pt-BR"/>
        </w:rPr>
      </w:pPr>
      <w:r>
        <w:rPr>
          <w:lang w:val="en-US"/>
        </w:rPr>
        <w:t>The adjusted model use</w:t>
      </w:r>
      <w:r w:rsidR="00235586">
        <w:rPr>
          <w:lang w:val="en-US"/>
        </w:rPr>
        <w:t>d</w:t>
      </w:r>
      <w:r>
        <w:rPr>
          <w:lang w:val="en-US"/>
        </w:rPr>
        <w:t xml:space="preserve"> as options </w:t>
      </w:r>
      <w:r w:rsidR="00235586">
        <w:rPr>
          <w:lang w:val="en-US"/>
        </w:rPr>
        <w:t xml:space="preserve">for </w:t>
      </w:r>
      <w:r>
        <w:rPr>
          <w:lang w:val="en-US"/>
        </w:rPr>
        <w:t>independent variables (</w:t>
      </w:r>
      <m:oMath>
        <m:r>
          <m:rPr>
            <m:nor/>
          </m:rPr>
          <w:rPr>
            <w:rFonts w:ascii="Cambria Math" w:hAnsi="Cambria Math"/>
            <w:b/>
            <w:bCs/>
            <w:lang w:val="en-US"/>
          </w:rPr>
          <m:t>X</m:t>
        </m:r>
      </m:oMath>
      <w:r>
        <w:rPr>
          <w:lang w:val="en-US"/>
        </w:rPr>
        <w:t xml:space="preserve">) only information that </w:t>
      </w:r>
      <w:r w:rsidR="00235586">
        <w:rPr>
          <w:lang w:val="en-US"/>
        </w:rPr>
        <w:t>was</w:t>
      </w:r>
      <w:r>
        <w:rPr>
          <w:lang w:val="en-US"/>
        </w:rPr>
        <w:t xml:space="preserve"> present in both sources: ICT Households and ICT Panel. The final model is presented in the </w:t>
      </w:r>
      <w:r w:rsidR="00235586">
        <w:rPr>
          <w:lang w:val="en-US"/>
        </w:rPr>
        <w:t>“</w:t>
      </w:r>
      <w:r>
        <w:rPr>
          <w:lang w:val="en-US"/>
        </w:rPr>
        <w:t>Data Collection Report.</w:t>
      </w:r>
      <w:r w:rsidR="00235586">
        <w:rPr>
          <w:lang w:val="en-US"/>
        </w:rPr>
        <w:t>”</w:t>
      </w:r>
    </w:p>
    <w:p w14:paraId="31A20E9F" w14:textId="2CB764AF" w:rsidR="00EB56D5" w:rsidRPr="00CB681B" w:rsidRDefault="00B956FB" w:rsidP="00EB56D5">
      <w:pPr>
        <w:rPr>
          <w:i/>
          <w:iCs/>
          <w:lang w:val="en-US"/>
        </w:rPr>
      </w:pPr>
      <w:r>
        <w:rPr>
          <w:i/>
          <w:iCs/>
          <w:lang w:val="en-US"/>
        </w:rPr>
        <w:t xml:space="preserve">Step III. Estimation of propensity scores for </w:t>
      </w:r>
      <w:r w:rsidR="00235586">
        <w:rPr>
          <w:i/>
          <w:iCs/>
          <w:lang w:val="en-US"/>
        </w:rPr>
        <w:t xml:space="preserve">ICT </w:t>
      </w:r>
      <w:r>
        <w:rPr>
          <w:i/>
          <w:iCs/>
          <w:lang w:val="en-US"/>
        </w:rPr>
        <w:t>Panel respondents</w:t>
      </w:r>
    </w:p>
    <w:p w14:paraId="3117B584" w14:textId="6D5C8EA3" w:rsidR="00EB56D5" w:rsidRPr="00CB681B" w:rsidRDefault="00B956FB" w:rsidP="00EB56D5">
      <w:pPr>
        <w:jc w:val="both"/>
        <w:rPr>
          <w:lang w:val="en-US"/>
        </w:rPr>
      </w:pPr>
      <w:r>
        <w:rPr>
          <w:lang w:val="en-US"/>
        </w:rPr>
        <w:t>Based on the model adjusted with the data of the last ICT Household</w:t>
      </w:r>
      <w:r w:rsidR="005F58B7">
        <w:rPr>
          <w:lang w:val="en-US"/>
        </w:rPr>
        <w:t>s</w:t>
      </w:r>
      <w:r>
        <w:rPr>
          <w:lang w:val="en-US"/>
        </w:rPr>
        <w:t xml:space="preserve"> survey, the propensity scores for the set of respondents of the ICT Panel </w:t>
      </w:r>
      <w:r w:rsidR="00235586">
        <w:rPr>
          <w:lang w:val="en-US"/>
        </w:rPr>
        <w:t xml:space="preserve">were </w:t>
      </w:r>
      <w:r>
        <w:rPr>
          <w:lang w:val="en-US"/>
        </w:rPr>
        <w:t xml:space="preserve">estimated. Then, the propensity score distributions of the ICT Households sample were compared with the scores of the ICT Panel sample for Internet users. The results are presented in the </w:t>
      </w:r>
      <w:r w:rsidR="00235586">
        <w:rPr>
          <w:lang w:val="en-US"/>
        </w:rPr>
        <w:t>“</w:t>
      </w:r>
      <w:r>
        <w:rPr>
          <w:lang w:val="en-US"/>
        </w:rPr>
        <w:t>Data Collection Report.</w:t>
      </w:r>
      <w:r w:rsidR="00235586">
        <w:rPr>
          <w:lang w:val="en-US"/>
        </w:rPr>
        <w:t>”</w:t>
      </w:r>
    </w:p>
    <w:p w14:paraId="63160F57" w14:textId="77777777" w:rsidR="00EB56D5" w:rsidRPr="00CB681B" w:rsidRDefault="00B956FB" w:rsidP="00EB56D5">
      <w:pPr>
        <w:jc w:val="both"/>
        <w:rPr>
          <w:i/>
          <w:iCs/>
          <w:lang w:val="en-US"/>
        </w:rPr>
      </w:pPr>
      <w:r w:rsidRPr="00AF5AA5">
        <w:rPr>
          <w:i/>
          <w:iCs/>
          <w:lang w:val="en-US"/>
        </w:rPr>
        <w:t xml:space="preserve">Step IV. Determination of the common support population of ICT Households and ICT Panel </w:t>
      </w:r>
    </w:p>
    <w:p w14:paraId="60577790" w14:textId="376A70F6" w:rsidR="00EB56D5" w:rsidRPr="00CB681B" w:rsidRDefault="00B956FB" w:rsidP="00EB56D5">
      <w:pPr>
        <w:jc w:val="both"/>
        <w:rPr>
          <w:lang w:val="en-US"/>
        </w:rPr>
      </w:pPr>
      <w:r>
        <w:rPr>
          <w:lang w:val="en-US"/>
        </w:rPr>
        <w:t xml:space="preserve">If the distributions of the scores obtained in both surveys </w:t>
      </w:r>
      <w:r w:rsidR="000E3BF7">
        <w:rPr>
          <w:lang w:val="en-US"/>
        </w:rPr>
        <w:t xml:space="preserve">were </w:t>
      </w:r>
      <w:r>
        <w:rPr>
          <w:lang w:val="en-US"/>
        </w:rPr>
        <w:t>different, we s</w:t>
      </w:r>
      <w:r w:rsidR="00443ED8">
        <w:rPr>
          <w:lang w:val="en-US"/>
        </w:rPr>
        <w:t>ought</w:t>
      </w:r>
      <w:r>
        <w:rPr>
          <w:lang w:val="en-US"/>
        </w:rPr>
        <w:t xml:space="preserve"> to identify a section of the sample of Internet users of the ICT Households </w:t>
      </w:r>
      <w:r w:rsidR="000E3BF7">
        <w:rPr>
          <w:lang w:val="en-US"/>
        </w:rPr>
        <w:t xml:space="preserve">survey </w:t>
      </w:r>
      <w:r>
        <w:rPr>
          <w:lang w:val="en-US"/>
        </w:rPr>
        <w:t xml:space="preserve">that </w:t>
      </w:r>
      <w:r w:rsidR="00443ED8">
        <w:rPr>
          <w:lang w:val="en-US"/>
        </w:rPr>
        <w:t>wa</w:t>
      </w:r>
      <w:r>
        <w:rPr>
          <w:lang w:val="en-US"/>
        </w:rPr>
        <w:t>s more similar to the set of respondents of the ICT Panel. The choice of this cut</w:t>
      </w:r>
      <w:r w:rsidR="00443ED8">
        <w:rPr>
          <w:lang w:val="en-US"/>
        </w:rPr>
        <w:t>-</w:t>
      </w:r>
      <w:r>
        <w:rPr>
          <w:lang w:val="en-US"/>
        </w:rPr>
        <w:t xml:space="preserve">out </w:t>
      </w:r>
      <w:r w:rsidR="000E3BF7">
        <w:rPr>
          <w:lang w:val="en-US"/>
        </w:rPr>
        <w:t xml:space="preserve">took </w:t>
      </w:r>
      <w:r>
        <w:rPr>
          <w:lang w:val="en-US"/>
        </w:rPr>
        <w:t xml:space="preserve">into account the observation of the score distributions and the variability in weights that </w:t>
      </w:r>
      <w:r w:rsidR="00FB466F">
        <w:rPr>
          <w:lang w:val="en-US"/>
        </w:rPr>
        <w:t xml:space="preserve">were </w:t>
      </w:r>
      <w:r>
        <w:rPr>
          <w:lang w:val="en-US"/>
        </w:rPr>
        <w:t>assigned to the respondents of the panel, for a set of possible cut</w:t>
      </w:r>
      <w:r w:rsidR="00443ED8">
        <w:rPr>
          <w:lang w:val="en-US"/>
        </w:rPr>
        <w:t>-</w:t>
      </w:r>
      <w:r>
        <w:rPr>
          <w:lang w:val="en-US"/>
        </w:rPr>
        <w:t xml:space="preserve">outs of propensity </w:t>
      </w:r>
      <w:r w:rsidR="00443ED8">
        <w:rPr>
          <w:lang w:val="en-US"/>
        </w:rPr>
        <w:t xml:space="preserve">scores </w:t>
      </w:r>
      <w:r>
        <w:rPr>
          <w:lang w:val="en-US"/>
        </w:rPr>
        <w:t>to be an Internet user</w:t>
      </w:r>
      <w:r w:rsidR="00443ED8">
        <w:rPr>
          <w:lang w:val="en-US"/>
        </w:rPr>
        <w:t xml:space="preserve">. </w:t>
      </w:r>
      <w:r>
        <w:rPr>
          <w:lang w:val="en-US"/>
        </w:rPr>
        <w:t>This assessment was made by estimating the weights of the ICT Panel respondents according to alternative situations:</w:t>
      </w:r>
    </w:p>
    <w:p w14:paraId="1692ABED" w14:textId="097C6051" w:rsidR="00EB56D5" w:rsidRPr="00CB681B" w:rsidRDefault="00FB466F" w:rsidP="00EB56D5">
      <w:pPr>
        <w:pStyle w:val="PargrafodaLista"/>
        <w:numPr>
          <w:ilvl w:val="0"/>
          <w:numId w:val="8"/>
        </w:numPr>
        <w:spacing w:after="160" w:line="259" w:lineRule="auto"/>
        <w:jc w:val="both"/>
        <w:rPr>
          <w:lang w:val="en-US"/>
        </w:rPr>
      </w:pPr>
      <w:r>
        <w:rPr>
          <w:lang w:val="en-US"/>
        </w:rPr>
        <w:t>S</w:t>
      </w:r>
      <w:r w:rsidR="00B956FB">
        <w:rPr>
          <w:lang w:val="en-US"/>
        </w:rPr>
        <w:t>election of all respondents from both surveys, without cut</w:t>
      </w:r>
      <w:r w:rsidR="00443ED8">
        <w:rPr>
          <w:lang w:val="en-US"/>
        </w:rPr>
        <w:t>-</w:t>
      </w:r>
      <w:r w:rsidR="00B956FB">
        <w:rPr>
          <w:lang w:val="en-US"/>
        </w:rPr>
        <w:t>out; and</w:t>
      </w:r>
    </w:p>
    <w:p w14:paraId="13DA6A0F" w14:textId="08F0A88D" w:rsidR="00EB56D5" w:rsidRPr="00CB681B" w:rsidRDefault="00FB466F" w:rsidP="00EB56D5">
      <w:pPr>
        <w:pStyle w:val="PargrafodaLista"/>
        <w:numPr>
          <w:ilvl w:val="0"/>
          <w:numId w:val="8"/>
        </w:numPr>
        <w:spacing w:after="160" w:line="259" w:lineRule="auto"/>
        <w:jc w:val="both"/>
        <w:rPr>
          <w:lang w:val="en-US"/>
        </w:rPr>
      </w:pPr>
      <w:r>
        <w:rPr>
          <w:lang w:val="en-US"/>
        </w:rPr>
        <w:t>S</w:t>
      </w:r>
      <w:r w:rsidR="00B956FB">
        <w:rPr>
          <w:lang w:val="en-US"/>
        </w:rPr>
        <w:t xml:space="preserve">election of respondents from both surveys who </w:t>
      </w:r>
      <w:r>
        <w:rPr>
          <w:lang w:val="en-US"/>
        </w:rPr>
        <w:t xml:space="preserve">had </w:t>
      </w:r>
      <w:r w:rsidR="00B956FB">
        <w:rPr>
          <w:lang w:val="en-US"/>
        </w:rPr>
        <w:t>propensity scores greater than or equal to a specific fraction.</w:t>
      </w:r>
    </w:p>
    <w:p w14:paraId="3D237573" w14:textId="4BE81E36" w:rsidR="009B3033" w:rsidRPr="00CB681B" w:rsidRDefault="00B956FB" w:rsidP="00EB56D5">
      <w:pPr>
        <w:jc w:val="both"/>
        <w:rPr>
          <w:lang w:val="en-US"/>
        </w:rPr>
      </w:pPr>
      <w:r>
        <w:rPr>
          <w:lang w:val="en-US"/>
        </w:rPr>
        <w:t xml:space="preserve">The fraction </w:t>
      </w:r>
      <w:r w:rsidR="00FB466F">
        <w:rPr>
          <w:lang w:val="en-US"/>
        </w:rPr>
        <w:t xml:space="preserve">was </w:t>
      </w:r>
      <w:r>
        <w:rPr>
          <w:lang w:val="en-US"/>
        </w:rPr>
        <w:t xml:space="preserve">chosen to use "chunks" of the pool of respondents that </w:t>
      </w:r>
      <w:r w:rsidR="00E40A3C">
        <w:rPr>
          <w:lang w:val="en-US"/>
        </w:rPr>
        <w:t xml:space="preserve">were </w:t>
      </w:r>
      <w:r>
        <w:rPr>
          <w:lang w:val="en-US"/>
        </w:rPr>
        <w:t>comparable</w:t>
      </w:r>
      <w:r w:rsidR="00E40A3C">
        <w:rPr>
          <w:lang w:val="en-US"/>
        </w:rPr>
        <w:t xml:space="preserve"> from both surveys</w:t>
      </w:r>
      <w:r>
        <w:rPr>
          <w:lang w:val="en-US"/>
        </w:rPr>
        <w:t>, which determine</w:t>
      </w:r>
      <w:r w:rsidR="00E40A3C">
        <w:rPr>
          <w:lang w:val="en-US"/>
        </w:rPr>
        <w:t>d</w:t>
      </w:r>
      <w:r>
        <w:rPr>
          <w:lang w:val="en-US"/>
        </w:rPr>
        <w:t xml:space="preserve"> a common support population for them.</w:t>
      </w:r>
    </w:p>
    <w:p w14:paraId="145D98DE" w14:textId="6AA4F202" w:rsidR="00EB56D5" w:rsidRPr="00CB681B" w:rsidRDefault="00B956FB" w:rsidP="00EB56D5">
      <w:pPr>
        <w:jc w:val="both"/>
        <w:rPr>
          <w:lang w:val="en-US"/>
        </w:rPr>
      </w:pPr>
      <w:r>
        <w:rPr>
          <w:lang w:val="en-US"/>
        </w:rPr>
        <w:t>For each fraction option (common support population determinant), pseudo-weights were estimated for the ICT</w:t>
      </w:r>
      <w:r w:rsidR="00E40A3C">
        <w:rPr>
          <w:lang w:val="en-US"/>
        </w:rPr>
        <w:t> </w:t>
      </w:r>
      <w:r>
        <w:rPr>
          <w:lang w:val="en-US"/>
        </w:rPr>
        <w:t>Panel respondents</w:t>
      </w:r>
      <w:r>
        <w:rPr>
          <w:rStyle w:val="Refdenotaderodap"/>
        </w:rPr>
        <w:footnoteReference w:id="3"/>
      </w:r>
      <w:r>
        <w:rPr>
          <w:lang w:val="en-US"/>
        </w:rPr>
        <w:t>, and the cut</w:t>
      </w:r>
      <w:r w:rsidR="004E77CC">
        <w:rPr>
          <w:lang w:val="en-US"/>
        </w:rPr>
        <w:t>-</w:t>
      </w:r>
      <w:r>
        <w:rPr>
          <w:lang w:val="en-US"/>
        </w:rPr>
        <w:t>outs considered were evaluated according to the variability in weights. The researchers opted for the cut</w:t>
      </w:r>
      <w:r w:rsidR="004E77CC">
        <w:rPr>
          <w:lang w:val="en-US"/>
        </w:rPr>
        <w:t>-</w:t>
      </w:r>
      <w:r>
        <w:rPr>
          <w:lang w:val="en-US"/>
        </w:rPr>
        <w:t>out in which the resulting weights ha</w:t>
      </w:r>
      <w:r w:rsidR="004B5FB4">
        <w:rPr>
          <w:lang w:val="en-US"/>
        </w:rPr>
        <w:t>d</w:t>
      </w:r>
      <w:r>
        <w:rPr>
          <w:lang w:val="en-US"/>
        </w:rPr>
        <w:t xml:space="preserve"> the smallest amplitude in the distribution of absolute values</w:t>
      </w:r>
      <w:r w:rsidR="004B5FB4">
        <w:rPr>
          <w:lang w:val="en-US"/>
        </w:rPr>
        <w:t>,</w:t>
      </w:r>
      <w:r>
        <w:rPr>
          <w:lang w:val="en-US"/>
        </w:rPr>
        <w:t xml:space="preserve"> and the calibration factors (ratio between </w:t>
      </w:r>
      <w:r w:rsidRPr="004F57FE">
        <w:rPr>
          <w:rFonts w:ascii="Calibri" w:eastAsia="Times New Roman" w:hAnsi="Calibri" w:cs="Times New Roman"/>
          <w:color w:val="000000"/>
          <w:lang w:val="en-US" w:eastAsia="pt-BR"/>
        </w:rPr>
        <w:t xml:space="preserve">calibrated weights and the basic weights) </w:t>
      </w:r>
      <w:r w:rsidR="004B5FB4">
        <w:rPr>
          <w:rFonts w:ascii="Calibri" w:eastAsia="Times New Roman" w:hAnsi="Calibri" w:cs="Times New Roman"/>
          <w:color w:val="000000"/>
          <w:lang w:val="en-US" w:eastAsia="pt-BR"/>
        </w:rPr>
        <w:t>had</w:t>
      </w:r>
      <w:r w:rsidR="004B5FB4" w:rsidRPr="004F57FE">
        <w:rPr>
          <w:rFonts w:ascii="Calibri" w:eastAsia="Times New Roman" w:hAnsi="Calibri" w:cs="Times New Roman"/>
          <w:color w:val="000000"/>
          <w:lang w:val="en-US" w:eastAsia="pt-BR"/>
        </w:rPr>
        <w:t xml:space="preserve"> </w:t>
      </w:r>
      <w:r w:rsidRPr="004F57FE">
        <w:rPr>
          <w:rFonts w:ascii="Calibri" w:eastAsia="Times New Roman" w:hAnsi="Calibri" w:cs="Times New Roman"/>
          <w:color w:val="000000"/>
          <w:lang w:val="en-US" w:eastAsia="pt-BR"/>
        </w:rPr>
        <w:t xml:space="preserve">an </w:t>
      </w:r>
      <w:r>
        <w:rPr>
          <w:lang w:val="en-US"/>
        </w:rPr>
        <w:t>average closer to 1. This is desirable because</w:t>
      </w:r>
      <w:r w:rsidR="00CD6092">
        <w:rPr>
          <w:lang w:val="en-US"/>
        </w:rPr>
        <w:t>,</w:t>
      </w:r>
      <w:r>
        <w:rPr>
          <w:lang w:val="en-US"/>
        </w:rPr>
        <w:t xml:space="preserve"> in this situation</w:t>
      </w:r>
      <w:r w:rsidR="00CD6092">
        <w:rPr>
          <w:lang w:val="en-US"/>
        </w:rPr>
        <w:t>,</w:t>
      </w:r>
      <w:r>
        <w:rPr>
          <w:lang w:val="en-US"/>
        </w:rPr>
        <w:t xml:space="preserve"> the calibrated weights </w:t>
      </w:r>
      <w:r w:rsidR="00CD6092">
        <w:rPr>
          <w:lang w:val="en-US"/>
        </w:rPr>
        <w:t xml:space="preserve">were </w:t>
      </w:r>
      <w:r>
        <w:rPr>
          <w:lang w:val="en-US"/>
        </w:rPr>
        <w:t xml:space="preserve">closer to the weights initially established by the pseudo-weight estimation methodology. The results of this stage are presented in the </w:t>
      </w:r>
      <w:r w:rsidR="00CD6092">
        <w:rPr>
          <w:lang w:val="en-US"/>
        </w:rPr>
        <w:t>“</w:t>
      </w:r>
      <w:r>
        <w:rPr>
          <w:lang w:val="en-US"/>
        </w:rPr>
        <w:t>Data Collection Report.</w:t>
      </w:r>
      <w:r w:rsidR="00CD6092">
        <w:rPr>
          <w:lang w:val="en-US"/>
        </w:rPr>
        <w:t>”</w:t>
      </w:r>
    </w:p>
    <w:p w14:paraId="65BE3930" w14:textId="77777777" w:rsidR="00EB56D5" w:rsidRPr="00CB681B" w:rsidRDefault="00EB56D5" w:rsidP="00EB56D5">
      <w:pPr>
        <w:spacing w:after="0" w:line="240" w:lineRule="auto"/>
        <w:jc w:val="both"/>
        <w:rPr>
          <w:sz w:val="18"/>
          <w:szCs w:val="18"/>
          <w:lang w:val="en-US"/>
        </w:rPr>
      </w:pPr>
    </w:p>
    <w:p w14:paraId="4DA4DDA6" w14:textId="5EFFA9E0" w:rsidR="00EB56D5" w:rsidRPr="00CE468B" w:rsidRDefault="00B956FB" w:rsidP="00EB56D5">
      <w:pPr>
        <w:keepNext/>
        <w:jc w:val="both"/>
        <w:rPr>
          <w:b/>
          <w:bCs/>
          <w:lang w:val="en-US"/>
        </w:rPr>
      </w:pPr>
      <w:r w:rsidRPr="00CE468B">
        <w:rPr>
          <w:b/>
          <w:bCs/>
          <w:lang w:val="en-US"/>
        </w:rPr>
        <w:lastRenderedPageBreak/>
        <w:t>&lt;4&gt;Stage 2</w:t>
      </w:r>
      <w:r w:rsidRPr="00CE468B">
        <w:rPr>
          <w:b/>
          <w:bCs/>
          <w:i/>
          <w:iCs/>
          <w:lang w:val="en-US"/>
        </w:rPr>
        <w:t xml:space="preserve"> - </w:t>
      </w:r>
      <w:r w:rsidRPr="00CE468B">
        <w:rPr>
          <w:b/>
          <w:bCs/>
          <w:lang w:val="en-US"/>
        </w:rPr>
        <w:t>Estimati</w:t>
      </w:r>
      <w:r w:rsidR="00182759" w:rsidRPr="00CE468B">
        <w:rPr>
          <w:b/>
          <w:bCs/>
          <w:lang w:val="en-US"/>
        </w:rPr>
        <w:t>on</w:t>
      </w:r>
      <w:r w:rsidRPr="00CE468B">
        <w:rPr>
          <w:b/>
          <w:bCs/>
          <w:lang w:val="en-US"/>
        </w:rPr>
        <w:t xml:space="preserve"> of pseudo-probabilities of inclusion to determine the weights of the respondents of the ICT Panel</w:t>
      </w:r>
    </w:p>
    <w:p w14:paraId="48D802C5" w14:textId="3A03AAD2" w:rsidR="00EB56D5" w:rsidRPr="00CB681B" w:rsidRDefault="00B956FB" w:rsidP="00EB56D5">
      <w:pPr>
        <w:jc w:val="both"/>
        <w:rPr>
          <w:lang w:val="en-US"/>
        </w:rPr>
      </w:pPr>
      <w:r>
        <w:rPr>
          <w:lang w:val="en-US"/>
        </w:rPr>
        <w:t>The pseudo-weight estimation process consist</w:t>
      </w:r>
      <w:r w:rsidR="00CD6092">
        <w:rPr>
          <w:lang w:val="en-US"/>
        </w:rPr>
        <w:t>ed</w:t>
      </w:r>
      <w:r>
        <w:rPr>
          <w:lang w:val="en-US"/>
        </w:rPr>
        <w:t xml:space="preserve"> of estimating the pseudo-probabilities of inclusion of the respondents of the ICT Panel (non-probability sample) in the last ICT Household</w:t>
      </w:r>
      <w:r w:rsidR="007A3477">
        <w:rPr>
          <w:lang w:val="en-US"/>
        </w:rPr>
        <w:t>s</w:t>
      </w:r>
      <w:r>
        <w:rPr>
          <w:lang w:val="en-US"/>
        </w:rPr>
        <w:t xml:space="preserve"> survey (probability sample), as well as using their reciprocals as weights, as in a traditional probability sampling survey. With this, the probability of an individual being selected and responding to the ICT Households survey </w:t>
      </w:r>
      <w:r w:rsidR="00CD6092">
        <w:rPr>
          <w:lang w:val="en-US"/>
        </w:rPr>
        <w:t>was</w:t>
      </w:r>
      <w:r>
        <w:rPr>
          <w:lang w:val="en-US"/>
        </w:rPr>
        <w:t xml:space="preserve"> estimated based on independent variables (</w:t>
      </w:r>
      <m:oMath>
        <m:r>
          <m:rPr>
            <m:nor/>
          </m:rPr>
          <w:rPr>
            <w:rFonts w:ascii="Cambria Math" w:hAnsi="Cambria Math"/>
            <w:b/>
            <w:bCs/>
            <w:lang w:val="en-US"/>
          </w:rPr>
          <m:t>X</m:t>
        </m:r>
      </m:oMath>
      <w:r>
        <w:rPr>
          <w:lang w:val="en-US"/>
        </w:rPr>
        <w:t>) related to the profile of the respondents, considering that, given these variables (</w:t>
      </w:r>
      <m:oMath>
        <m:r>
          <m:rPr>
            <m:nor/>
          </m:rPr>
          <w:rPr>
            <w:rFonts w:ascii="Cambria Math" w:hAnsi="Cambria Math"/>
            <w:b/>
            <w:bCs/>
            <w:lang w:val="en-US"/>
          </w:rPr>
          <m:t>X</m:t>
        </m:r>
      </m:oMath>
      <w:r>
        <w:rPr>
          <w:lang w:val="en-US"/>
        </w:rPr>
        <w:t xml:space="preserve">), the probabilities of inclusion </w:t>
      </w:r>
      <w:r w:rsidR="00CD6092">
        <w:rPr>
          <w:lang w:val="en-US"/>
        </w:rPr>
        <w:t>were</w:t>
      </w:r>
      <w:r>
        <w:rPr>
          <w:lang w:val="en-US"/>
        </w:rPr>
        <w:t xml:space="preserve"> independent from the variables of interest of the survey.</w:t>
      </w:r>
    </w:p>
    <w:p w14:paraId="21EF14C3" w14:textId="3778D85A" w:rsidR="00EB56D5" w:rsidRPr="00CB681B" w:rsidRDefault="00B956FB" w:rsidP="00EB56D5">
      <w:pPr>
        <w:jc w:val="both"/>
        <w:rPr>
          <w:lang w:val="en-US"/>
        </w:rPr>
      </w:pPr>
      <w:r>
        <w:rPr>
          <w:lang w:val="en-US"/>
        </w:rPr>
        <w:t xml:space="preserve">To estimate pseudo-probabilities, data from both samples (probability and non-probability) </w:t>
      </w:r>
      <w:r w:rsidR="00CD6092">
        <w:rPr>
          <w:lang w:val="en-US"/>
        </w:rPr>
        <w:t>were</w:t>
      </w:r>
      <w:r>
        <w:rPr>
          <w:lang w:val="en-US"/>
        </w:rPr>
        <w:t xml:space="preserve"> stacked into a single database, and inclusion probabilities </w:t>
      </w:r>
      <w:r w:rsidR="00CD6092">
        <w:rPr>
          <w:lang w:val="en-US"/>
        </w:rPr>
        <w:t xml:space="preserve">were </w:t>
      </w:r>
      <w:r>
        <w:rPr>
          <w:lang w:val="en-US"/>
        </w:rPr>
        <w:t xml:space="preserve">estimated using a logistic regression model that </w:t>
      </w:r>
      <w:r w:rsidR="00CD6092">
        <w:rPr>
          <w:lang w:val="en-US"/>
        </w:rPr>
        <w:t xml:space="preserve">took </w:t>
      </w:r>
      <w:r>
        <w:rPr>
          <w:lang w:val="en-US"/>
        </w:rPr>
        <w:t>into account the sampling plan of the reference probability survey.</w:t>
      </w:r>
    </w:p>
    <w:p w14:paraId="6BFC4478" w14:textId="4B8F5CAB" w:rsidR="00EB56D5" w:rsidRPr="00CB681B" w:rsidRDefault="00B956FB" w:rsidP="00EB56D5">
      <w:pPr>
        <w:jc w:val="both"/>
        <w:rPr>
          <w:lang w:val="en-US"/>
        </w:rPr>
      </w:pPr>
      <w:r>
        <w:rPr>
          <w:lang w:val="en-US"/>
        </w:rPr>
        <w:t>For this study, different possibilities were considered according to the population cut</w:t>
      </w:r>
      <w:r w:rsidR="00443ED8">
        <w:rPr>
          <w:lang w:val="en-US"/>
        </w:rPr>
        <w:t>-</w:t>
      </w:r>
      <w:r>
        <w:rPr>
          <w:lang w:val="en-US"/>
        </w:rPr>
        <w:t>outs established in the previous section. Such cut</w:t>
      </w:r>
      <w:r w:rsidR="004E77CC">
        <w:rPr>
          <w:lang w:val="en-US"/>
        </w:rPr>
        <w:t>-</w:t>
      </w:r>
      <w:r>
        <w:rPr>
          <w:lang w:val="en-US"/>
        </w:rPr>
        <w:t xml:space="preserve">outs aimed to identify the common support population of the two studies by evaluating the weights obtained, as suggested by Valliant (2019). </w:t>
      </w:r>
    </w:p>
    <w:p w14:paraId="47DBA24F" w14:textId="3210B609" w:rsidR="00EB56D5" w:rsidRPr="00CB681B" w:rsidRDefault="00B956FB" w:rsidP="00EB56D5">
      <w:pPr>
        <w:jc w:val="both"/>
        <w:rPr>
          <w:lang w:val="en-US"/>
        </w:rPr>
      </w:pPr>
      <w:r>
        <w:rPr>
          <w:lang w:val="en-US"/>
        </w:rPr>
        <w:t>The pseudo-probability estimation process use</w:t>
      </w:r>
      <w:r w:rsidR="00B15C04">
        <w:rPr>
          <w:lang w:val="en-US"/>
        </w:rPr>
        <w:t>d</w:t>
      </w:r>
      <w:r>
        <w:rPr>
          <w:lang w:val="en-US"/>
        </w:rPr>
        <w:t xml:space="preserve"> the following steps:</w:t>
      </w:r>
    </w:p>
    <w:p w14:paraId="4FEE8E22" w14:textId="6B7AFFA4" w:rsidR="00EB56D5" w:rsidRPr="00CB681B" w:rsidRDefault="00B956FB" w:rsidP="00EB56D5">
      <w:pPr>
        <w:pStyle w:val="PargrafodaLista"/>
        <w:numPr>
          <w:ilvl w:val="0"/>
          <w:numId w:val="9"/>
        </w:numPr>
        <w:spacing w:after="160" w:line="259" w:lineRule="auto"/>
        <w:jc w:val="both"/>
        <w:rPr>
          <w:lang w:val="en-US"/>
        </w:rPr>
      </w:pPr>
      <w:r>
        <w:rPr>
          <w:lang w:val="en-US"/>
        </w:rPr>
        <w:t>Union of cases in the same database (stacking), ensuring the presence of common independent variables (</w:t>
      </w:r>
      <m:oMath>
        <m:r>
          <m:rPr>
            <m:nor/>
          </m:rPr>
          <w:rPr>
            <w:rFonts w:ascii="Cambria Math" w:hAnsi="Cambria Math"/>
            <w:b/>
            <w:bCs/>
            <w:lang w:val="en-US"/>
          </w:rPr>
          <m:t>X</m:t>
        </m:r>
      </m:oMath>
      <w:r>
        <w:rPr>
          <w:lang w:val="en-US"/>
        </w:rPr>
        <w:t xml:space="preserve">), collected according to the same criteria and concepts. In this basis, an indicator variable </w:t>
      </w:r>
      <w:r w:rsidRPr="00553960">
        <w:rPr>
          <w:b/>
          <w:lang w:val="en-US"/>
        </w:rPr>
        <w:t>Z</w:t>
      </w:r>
      <w:r>
        <w:rPr>
          <w:lang w:val="en-US"/>
        </w:rPr>
        <w:t xml:space="preserve"> was created, whose value was 1 for ICT Panel respondents (non-probability sample) and 0 for ICT Household</w:t>
      </w:r>
      <w:r w:rsidR="007A3477">
        <w:rPr>
          <w:lang w:val="en-US"/>
        </w:rPr>
        <w:t>s</w:t>
      </w:r>
      <w:r>
        <w:rPr>
          <w:lang w:val="en-US"/>
        </w:rPr>
        <w:t xml:space="preserve"> respondents (probability sample).</w:t>
      </w:r>
    </w:p>
    <w:p w14:paraId="0DCF9B9A" w14:textId="462439BB" w:rsidR="00EB56D5" w:rsidRPr="00CB681B" w:rsidRDefault="00B956FB" w:rsidP="00EB56D5">
      <w:pPr>
        <w:pStyle w:val="PargrafodaLista"/>
        <w:numPr>
          <w:ilvl w:val="0"/>
          <w:numId w:val="9"/>
        </w:numPr>
        <w:spacing w:after="160" w:line="259" w:lineRule="auto"/>
        <w:jc w:val="both"/>
        <w:rPr>
          <w:lang w:val="en-US"/>
        </w:rPr>
      </w:pPr>
      <w:r>
        <w:rPr>
          <w:lang w:val="en-US"/>
        </w:rPr>
        <w:t>Creation of a column of weights in this file, which consider</w:t>
      </w:r>
      <w:r w:rsidR="007A3477">
        <w:rPr>
          <w:lang w:val="en-US"/>
        </w:rPr>
        <w:t>ed</w:t>
      </w:r>
      <w:r>
        <w:rPr>
          <w:lang w:val="en-US"/>
        </w:rPr>
        <w:t xml:space="preserve"> the weights coming from the probabilistic sample (for its cases) and </w:t>
      </w:r>
      <w:r w:rsidR="007A3477">
        <w:rPr>
          <w:lang w:val="en-US"/>
        </w:rPr>
        <w:t xml:space="preserve">a </w:t>
      </w:r>
      <w:r>
        <w:rPr>
          <w:lang w:val="en-US"/>
        </w:rPr>
        <w:t>weight equal to 1 for the cases of the non-probability sample.</w:t>
      </w:r>
    </w:p>
    <w:p w14:paraId="70910FF9" w14:textId="77777777" w:rsidR="00EB56D5" w:rsidRPr="00CB681B" w:rsidRDefault="00B956FB" w:rsidP="00EB56D5">
      <w:pPr>
        <w:pStyle w:val="PargrafodaLista"/>
        <w:numPr>
          <w:ilvl w:val="0"/>
          <w:numId w:val="9"/>
        </w:numPr>
        <w:spacing w:after="160" w:line="259" w:lineRule="auto"/>
        <w:jc w:val="both"/>
        <w:rPr>
          <w:lang w:val="en-US"/>
        </w:rPr>
      </w:pPr>
      <w:r>
        <w:rPr>
          <w:lang w:val="en-US"/>
        </w:rPr>
        <w:t xml:space="preserve">Fitting a logistic regression model having the variable </w:t>
      </w:r>
      <w:r w:rsidRPr="00553960">
        <w:rPr>
          <w:b/>
          <w:lang w:val="en-US"/>
        </w:rPr>
        <w:t>Z</w:t>
      </w:r>
      <w:r>
        <w:rPr>
          <w:lang w:val="en-US"/>
        </w:rPr>
        <w:t xml:space="preserve"> as a response, taking into account the sample design of the ICT Households survey, to estimate the probabilities of including the ICT Panel respondents in the probability sample.</w:t>
      </w:r>
    </w:p>
    <w:p w14:paraId="081ECA08" w14:textId="624CD9F8" w:rsidR="00EB56D5" w:rsidRPr="00CB681B" w:rsidRDefault="00B956FB" w:rsidP="00EB56D5">
      <w:pPr>
        <w:jc w:val="both"/>
        <w:rPr>
          <w:lang w:val="en-US"/>
        </w:rPr>
      </w:pPr>
      <w:r>
        <w:rPr>
          <w:lang w:val="en-US"/>
        </w:rPr>
        <w:t xml:space="preserve">In the model adjustment, the ICT Panel sample was considered as a separate stratum, and each respondent in that sample was considered to be a distinct primary sampling unit (PSU). This procedure </w:t>
      </w:r>
      <w:r w:rsidR="007A3477">
        <w:rPr>
          <w:lang w:val="en-US"/>
        </w:rPr>
        <w:t xml:space="preserve">was </w:t>
      </w:r>
      <w:r>
        <w:rPr>
          <w:lang w:val="en-US"/>
        </w:rPr>
        <w:t xml:space="preserve">necessary to </w:t>
      </w:r>
      <w:r w:rsidR="00CE468B">
        <w:rPr>
          <w:lang w:val="en-US"/>
        </w:rPr>
        <w:t xml:space="preserve">designate </w:t>
      </w:r>
      <w:r>
        <w:rPr>
          <w:lang w:val="en-US"/>
        </w:rPr>
        <w:t>the structure variables of the sampling plan for the stacked data file of the two surveys.</w:t>
      </w:r>
    </w:p>
    <w:p w14:paraId="20395113" w14:textId="67387B01" w:rsidR="00EB56D5" w:rsidRPr="00CB681B" w:rsidRDefault="00B956FB" w:rsidP="00EB56D5">
      <w:pPr>
        <w:jc w:val="both"/>
        <w:rPr>
          <w:lang w:val="en-US"/>
        </w:rPr>
      </w:pPr>
      <w:r>
        <w:rPr>
          <w:lang w:val="en-US"/>
        </w:rPr>
        <w:t>The most parsimonious model considering the independent variables (</w:t>
      </w:r>
      <m:oMath>
        <m:r>
          <m:rPr>
            <m:nor/>
          </m:rPr>
          <w:rPr>
            <w:rFonts w:ascii="Cambria Math" w:hAnsi="Cambria Math"/>
            <w:b/>
            <w:bCs/>
            <w:lang w:val="en-US"/>
          </w:rPr>
          <m:t>X</m:t>
        </m:r>
      </m:oMath>
      <w:r>
        <w:rPr>
          <w:lang w:val="en-US"/>
        </w:rPr>
        <w:t xml:space="preserve">) available and common to the two databases is presented in the "Data </w:t>
      </w:r>
      <w:r w:rsidR="00125F11">
        <w:rPr>
          <w:lang w:val="en-US"/>
        </w:rPr>
        <w:t>C</w:t>
      </w:r>
      <w:r>
        <w:rPr>
          <w:lang w:val="en-US"/>
        </w:rPr>
        <w:t xml:space="preserve">ollection </w:t>
      </w:r>
      <w:r w:rsidR="00125F11">
        <w:rPr>
          <w:lang w:val="en-US"/>
        </w:rPr>
        <w:t>R</w:t>
      </w:r>
      <w:r>
        <w:rPr>
          <w:lang w:val="en-US"/>
        </w:rPr>
        <w:t xml:space="preserve">eport" of the ICT Panel survey. Based on this model, the pseudo-probabilities of inclusion of the ICT Panel respondents in the last ICT Households survey were estimated. The reciprocals of these pseudo-probabilities </w:t>
      </w:r>
      <w:r w:rsidR="000456EC">
        <w:rPr>
          <w:lang w:val="en-US"/>
        </w:rPr>
        <w:t xml:space="preserve">were </w:t>
      </w:r>
      <w:r>
        <w:rPr>
          <w:lang w:val="en-US"/>
        </w:rPr>
        <w:t>the initial weights allocated to each respondent of the ICT Panel.</w:t>
      </w:r>
    </w:p>
    <w:p w14:paraId="51E81A45" w14:textId="6130E0B5" w:rsidR="00EB56D5" w:rsidRPr="00CB681B" w:rsidRDefault="00B956FB" w:rsidP="00EB56D5">
      <w:pPr>
        <w:jc w:val="both"/>
        <w:rPr>
          <w:lang w:val="en-US"/>
        </w:rPr>
      </w:pPr>
      <w:r>
        <w:rPr>
          <w:lang w:val="en-US"/>
        </w:rPr>
        <w:t xml:space="preserve">These initial weights were calibrated for </w:t>
      </w:r>
      <w:r w:rsidR="000456EC">
        <w:rPr>
          <w:lang w:val="en-US"/>
        </w:rPr>
        <w:t xml:space="preserve">the </w:t>
      </w:r>
      <w:r>
        <w:rPr>
          <w:lang w:val="en-US"/>
        </w:rPr>
        <w:t>total estimated marginals of the ICT Household</w:t>
      </w:r>
      <w:r w:rsidR="000456EC">
        <w:rPr>
          <w:lang w:val="en-US"/>
        </w:rPr>
        <w:t>s</w:t>
      </w:r>
      <w:r>
        <w:rPr>
          <w:lang w:val="en-US"/>
        </w:rPr>
        <w:t xml:space="preserve"> survey variables. The weights thus calibrated were considered for the estimation of all indicators of results of interest and associated precision measures.</w:t>
      </w:r>
    </w:p>
    <w:p w14:paraId="77328D08" w14:textId="65789010" w:rsidR="00EB56D5" w:rsidRPr="00CB681B" w:rsidRDefault="00B956FB" w:rsidP="00EB56D5">
      <w:pPr>
        <w:jc w:val="both"/>
        <w:rPr>
          <w:b/>
          <w:bCs/>
          <w:lang w:val="en-US"/>
        </w:rPr>
      </w:pPr>
      <w:r>
        <w:rPr>
          <w:b/>
          <w:bCs/>
          <w:lang w:val="en-US"/>
        </w:rPr>
        <w:lastRenderedPageBreak/>
        <w:t>&lt;3&gt;Estimation of variance</w:t>
      </w:r>
    </w:p>
    <w:p w14:paraId="69596B82" w14:textId="39E7C038" w:rsidR="00EB56D5" w:rsidRPr="00CB681B" w:rsidRDefault="00B956FB" w:rsidP="00EB56D5">
      <w:pPr>
        <w:jc w:val="both"/>
        <w:rPr>
          <w:lang w:val="en-US"/>
        </w:rPr>
      </w:pPr>
      <w:r>
        <w:rPr>
          <w:lang w:val="en-US"/>
        </w:rPr>
        <w:t>The estimation process assigned each respondent of the ICT Panel a weight that treat</w:t>
      </w:r>
      <w:r w:rsidR="00DC69F1">
        <w:rPr>
          <w:lang w:val="en-US"/>
        </w:rPr>
        <w:t>ed</w:t>
      </w:r>
      <w:r>
        <w:rPr>
          <w:lang w:val="en-US"/>
        </w:rPr>
        <w:t xml:space="preserve"> them as a research participant with a sample plan equal to that of the last ICT Households survey, but with a smaller total sample size. In this way, it </w:t>
      </w:r>
      <w:r w:rsidR="00DC69F1">
        <w:rPr>
          <w:lang w:val="en-US"/>
        </w:rPr>
        <w:t xml:space="preserve">was </w:t>
      </w:r>
      <w:r>
        <w:rPr>
          <w:lang w:val="en-US"/>
        </w:rPr>
        <w:t>possible to estimate variances and margins of error. According to Valliant (2019), there are two possibilities for variance estimation: estimation considering the sample as simple random with replacement</w:t>
      </w:r>
      <w:r w:rsidR="00DC69F1">
        <w:rPr>
          <w:lang w:val="en-US"/>
        </w:rPr>
        <w:t>,</w:t>
      </w:r>
      <w:r>
        <w:rPr>
          <w:lang w:val="en-US"/>
        </w:rPr>
        <w:t xml:space="preserve"> </w:t>
      </w:r>
      <w:r w:rsidR="00DC69F1">
        <w:rPr>
          <w:lang w:val="en-US"/>
        </w:rPr>
        <w:t xml:space="preserve">and </w:t>
      </w:r>
      <w:r>
        <w:rPr>
          <w:lang w:val="en-US"/>
        </w:rPr>
        <w:t>estimation based on the replication method.</w:t>
      </w:r>
    </w:p>
    <w:p w14:paraId="267E40F5" w14:textId="0AC5FB6A" w:rsidR="00EB56D5" w:rsidRPr="00443ED8" w:rsidRDefault="00B956FB" w:rsidP="00EB56D5">
      <w:pPr>
        <w:jc w:val="both"/>
        <w:rPr>
          <w:lang w:val="en-US"/>
        </w:rPr>
      </w:pPr>
      <w:r>
        <w:rPr>
          <w:lang w:val="en-US"/>
        </w:rPr>
        <w:t xml:space="preserve">The second method (estimation based on </w:t>
      </w:r>
      <w:r w:rsidR="00DC69F1">
        <w:rPr>
          <w:lang w:val="en-US"/>
        </w:rPr>
        <w:t xml:space="preserve">the </w:t>
      </w:r>
      <w:r>
        <w:rPr>
          <w:lang w:val="en-US"/>
        </w:rPr>
        <w:t>replication method) has the advantage of considering the estimation of the model and the pseudo</w:t>
      </w:r>
      <w:r w:rsidR="00443ED8">
        <w:rPr>
          <w:lang w:val="en-US"/>
        </w:rPr>
        <w:t>-</w:t>
      </w:r>
      <w:r>
        <w:rPr>
          <w:lang w:val="en-US"/>
        </w:rPr>
        <w:t>probabilities of inclusion of subsamples taken from the main sample</w:t>
      </w:r>
      <w:r w:rsidR="00443ED8">
        <w:rPr>
          <w:lang w:val="en-US"/>
        </w:rPr>
        <w:t xml:space="preserve">. </w:t>
      </w:r>
      <w:r>
        <w:rPr>
          <w:lang w:val="en-US"/>
        </w:rPr>
        <w:t>This allows to include in the estimation of variance the variability associated with the estimation of this model</w:t>
      </w:r>
      <w:r w:rsidR="00FB4698">
        <w:rPr>
          <w:lang w:val="en-US"/>
        </w:rPr>
        <w:t>,</w:t>
      </w:r>
      <w:r>
        <w:rPr>
          <w:lang w:val="en-US"/>
        </w:rPr>
        <w:t xml:space="preserve"> and this is why this method was chosen. The steps of the procedure were as follows:</w:t>
      </w:r>
    </w:p>
    <w:p w14:paraId="548EAB9A" w14:textId="7D96F4C9" w:rsidR="00EB56D5" w:rsidRPr="00CB681B" w:rsidRDefault="00B956FB" w:rsidP="00EB56D5">
      <w:pPr>
        <w:pStyle w:val="PargrafodaLista"/>
        <w:numPr>
          <w:ilvl w:val="0"/>
          <w:numId w:val="10"/>
        </w:numPr>
        <w:spacing w:after="160" w:line="259" w:lineRule="auto"/>
        <w:jc w:val="both"/>
        <w:rPr>
          <w:lang w:val="en-US"/>
        </w:rPr>
      </w:pPr>
      <w:r>
        <w:rPr>
          <w:lang w:val="en-US"/>
        </w:rPr>
        <w:t>From the common (stacked) base used to estimate the pseudo</w:t>
      </w:r>
      <w:r w:rsidR="004E77CC">
        <w:rPr>
          <w:lang w:val="en-US"/>
        </w:rPr>
        <w:t>-</w:t>
      </w:r>
      <w:r>
        <w:rPr>
          <w:lang w:val="en-US"/>
        </w:rPr>
        <w:t xml:space="preserve">probabilities model, 200 bootstrap samples were selected using the </w:t>
      </w:r>
      <w:r w:rsidRPr="00770A15">
        <w:rPr>
          <w:i/>
          <w:iCs/>
          <w:noProof/>
          <w:lang w:val="en-US"/>
        </w:rPr>
        <w:t>as.svrepdesign</w:t>
      </w:r>
      <w:r>
        <w:rPr>
          <w:lang w:val="en-US"/>
        </w:rPr>
        <w:t xml:space="preserve"> function of </w:t>
      </w:r>
      <w:r w:rsidRPr="004E77CC">
        <w:rPr>
          <w:lang w:val="en-US"/>
        </w:rPr>
        <w:t xml:space="preserve">the </w:t>
      </w:r>
      <w:r w:rsidRPr="004E77CC">
        <w:rPr>
          <w:noProof/>
          <w:lang w:val="en-US"/>
        </w:rPr>
        <w:t>survey</w:t>
      </w:r>
      <w:r>
        <w:rPr>
          <w:lang w:val="en-US"/>
        </w:rPr>
        <w:t xml:space="preserve"> package of the program R, considering the sample plan.</w:t>
      </w:r>
    </w:p>
    <w:p w14:paraId="005A206B" w14:textId="2339B583" w:rsidR="00EB56D5" w:rsidRPr="00CB681B" w:rsidRDefault="00B956FB" w:rsidP="00EB56D5">
      <w:pPr>
        <w:pStyle w:val="PargrafodaLista"/>
        <w:numPr>
          <w:ilvl w:val="0"/>
          <w:numId w:val="10"/>
        </w:numPr>
        <w:spacing w:after="160" w:line="259" w:lineRule="auto"/>
        <w:jc w:val="both"/>
        <w:rPr>
          <w:lang w:val="en-US"/>
        </w:rPr>
      </w:pPr>
      <w:r>
        <w:rPr>
          <w:lang w:val="en-US"/>
        </w:rPr>
        <w:t>For each of these 200 replicas, the model was adjusted to estimate pseudo</w:t>
      </w:r>
      <w:r w:rsidR="004E77CC">
        <w:rPr>
          <w:lang w:val="en-US"/>
        </w:rPr>
        <w:t>-</w:t>
      </w:r>
      <w:r>
        <w:rPr>
          <w:lang w:val="en-US"/>
        </w:rPr>
        <w:t>probabilities of inclusion and corresponding pseudo</w:t>
      </w:r>
      <w:r w:rsidR="004E77CC">
        <w:rPr>
          <w:lang w:val="en-US"/>
        </w:rPr>
        <w:t>-</w:t>
      </w:r>
      <w:r>
        <w:rPr>
          <w:lang w:val="en-US"/>
        </w:rPr>
        <w:t>w</w:t>
      </w:r>
      <w:r w:rsidR="004E77CC">
        <w:rPr>
          <w:lang w:val="en-US"/>
        </w:rPr>
        <w:t>e</w:t>
      </w:r>
      <w:r>
        <w:rPr>
          <w:lang w:val="en-US"/>
        </w:rPr>
        <w:t>ights.</w:t>
      </w:r>
    </w:p>
    <w:p w14:paraId="1C9A6ACF" w14:textId="138137A4" w:rsidR="00EB56D5" w:rsidRPr="00CB681B" w:rsidRDefault="00B956FB" w:rsidP="00EB56D5">
      <w:pPr>
        <w:pStyle w:val="PargrafodaLista"/>
        <w:numPr>
          <w:ilvl w:val="0"/>
          <w:numId w:val="10"/>
        </w:numPr>
        <w:spacing w:after="160" w:line="259" w:lineRule="auto"/>
        <w:jc w:val="both"/>
        <w:rPr>
          <w:lang w:val="en-US"/>
        </w:rPr>
      </w:pPr>
      <w:r>
        <w:rPr>
          <w:lang w:val="en-US"/>
        </w:rPr>
        <w:t>The pseudo</w:t>
      </w:r>
      <w:r w:rsidR="004E77CC">
        <w:rPr>
          <w:lang w:val="en-US"/>
        </w:rPr>
        <w:t>-</w:t>
      </w:r>
      <w:r>
        <w:rPr>
          <w:lang w:val="en-US"/>
        </w:rPr>
        <w:t>weights of each replica were calibrated and stored</w:t>
      </w:r>
      <w:r w:rsidR="004E77CC">
        <w:rPr>
          <w:lang w:val="en-US"/>
        </w:rPr>
        <w:t xml:space="preserve"> </w:t>
      </w:r>
      <w:r>
        <w:rPr>
          <w:lang w:val="en-US"/>
        </w:rPr>
        <w:t>for variance estimation.</w:t>
      </w:r>
    </w:p>
    <w:p w14:paraId="6B005B0B" w14:textId="77777777" w:rsidR="00EB56D5" w:rsidRPr="00CB681B" w:rsidRDefault="00EB56D5" w:rsidP="00EB56D5">
      <w:pPr>
        <w:jc w:val="both"/>
        <w:rPr>
          <w:lang w:val="en-US"/>
        </w:rPr>
      </w:pPr>
    </w:p>
    <w:p w14:paraId="07B1A70A" w14:textId="77777777" w:rsidR="00EB56D5" w:rsidRPr="00CB681B" w:rsidRDefault="00B956FB" w:rsidP="00EB56D5">
      <w:pPr>
        <w:jc w:val="both"/>
        <w:rPr>
          <w:lang w:val="en-US"/>
        </w:rPr>
      </w:pPr>
      <w:r>
        <w:rPr>
          <w:lang w:val="en-US"/>
        </w:rPr>
        <w:t>The variance of estimates of indicators of interest was estimated using Formula 2.</w:t>
      </w:r>
    </w:p>
    <w:p w14:paraId="4561EFCB" w14:textId="77777777" w:rsidR="00DA0624" w:rsidRPr="00412577" w:rsidRDefault="00B956FB" w:rsidP="00EB56D5">
      <w:pPr>
        <w:jc w:val="both"/>
        <w:rPr>
          <w:b/>
          <w:bCs/>
        </w:rPr>
      </w:pPr>
      <w:r w:rsidRPr="00412577">
        <w:rPr>
          <w:b/>
          <w:bCs/>
          <w:lang w:val="en-US"/>
        </w:rPr>
        <w:t>Formula 2</w:t>
      </w:r>
    </w:p>
    <w:p w14:paraId="59390B52" w14:textId="77777777" w:rsidR="00EB56D5" w:rsidRPr="008F247F" w:rsidRDefault="001F3488" w:rsidP="00EB56D5">
      <w:pPr>
        <w:jc w:val="both"/>
      </w:pPr>
      <m:oMathPara>
        <m:oMath>
          <m:acc>
            <m:accPr>
              <m:ctrlPr>
                <w:rPr>
                  <w:rFonts w:ascii="Cambria Math" w:hAnsi="Cambria Math"/>
                  <w:i/>
                </w:rPr>
              </m:ctrlPr>
            </m:accPr>
            <m:e>
              <m:r>
                <w:rPr>
                  <w:rFonts w:ascii="Cambria Math" w:hAnsi="Cambria Math"/>
                </w:rPr>
                <m:t>V</m:t>
              </m:r>
            </m:e>
          </m:acc>
          <m:d>
            <m:dPr>
              <m:ctrlPr>
                <w:rPr>
                  <w:rFonts w:ascii="Cambria Math" w:hAnsi="Cambria Math"/>
                  <w:i/>
                </w:rPr>
              </m:ctrlPr>
            </m:dPr>
            <m:e>
              <m:acc>
                <m:accPr>
                  <m:ctrlPr>
                    <w:rPr>
                      <w:rFonts w:ascii="Cambria Math" w:hAnsi="Cambria Math"/>
                      <w:i/>
                    </w:rPr>
                  </m:ctrlPr>
                </m:accPr>
                <m:e>
                  <m:r>
                    <w:rPr>
                      <w:rFonts w:ascii="Cambria Math" w:hAnsi="Cambria Math"/>
                    </w:rPr>
                    <m:t>y</m:t>
                  </m:r>
                </m:e>
              </m:acc>
            </m:e>
          </m:d>
          <m:r>
            <w:rPr>
              <w:rFonts w:ascii="Cambria Math" w:hAnsi="Cambria Math"/>
            </w:rPr>
            <m:t>=</m:t>
          </m:r>
          <m:f>
            <m:fPr>
              <m:ctrlPr>
                <w:rPr>
                  <w:rFonts w:ascii="Cambria Math" w:hAnsi="Cambria Math"/>
                  <w:i/>
                </w:rPr>
              </m:ctrlPr>
            </m:fPr>
            <m:num>
              <m:r>
                <w:rPr>
                  <w:rFonts w:ascii="Cambria Math" w:hAnsi="Cambria Math"/>
                </w:rPr>
                <m:t>R</m:t>
              </m:r>
              <m:r>
                <w:rPr>
                  <w:rFonts w:ascii="Cambria Math" w:hAnsi="Cambria Math"/>
                </w:rPr>
                <m:t>-</m:t>
              </m:r>
              <m:r>
                <w:rPr>
                  <w:rFonts w:ascii="Cambria Math" w:hAnsi="Cambria Math"/>
                </w:rPr>
                <m:t>1</m:t>
              </m:r>
            </m:num>
            <m:den>
              <m:r>
                <w:rPr>
                  <w:rFonts w:ascii="Cambria Math" w:hAnsi="Cambria Math"/>
                </w:rPr>
                <m:t>R</m:t>
              </m:r>
            </m:den>
          </m:f>
          <m:nary>
            <m:naryPr>
              <m:chr m:val="∑"/>
              <m:limLoc m:val="undOvr"/>
              <m:ctrlPr>
                <w:rPr>
                  <w:rFonts w:ascii="Cambria Math" w:hAnsi="Cambria Math"/>
                  <w:i/>
                </w:rPr>
              </m:ctrlPr>
            </m:naryPr>
            <m:sub>
              <m:r>
                <w:rPr>
                  <w:rFonts w:ascii="Cambria Math" w:hAnsi="Cambria Math"/>
                </w:rPr>
                <m:t>r</m:t>
              </m:r>
              <m:r>
                <w:rPr>
                  <w:rFonts w:ascii="Cambria Math" w:hAnsi="Cambria Math"/>
                </w:rPr>
                <m:t>=1</m:t>
              </m:r>
            </m:sub>
            <m:sup>
              <m:r>
                <w:rPr>
                  <w:rFonts w:ascii="Cambria Math" w:hAnsi="Cambria Math"/>
                </w:rPr>
                <m:t>R</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r</m:t>
                          </m:r>
                        </m:sub>
                      </m:sSub>
                      <m:r>
                        <w:rPr>
                          <w:rFonts w:ascii="Cambria Math" w:hAnsi="Cambria Math"/>
                        </w:rPr>
                        <m:t>-</m:t>
                      </m:r>
                      <m:acc>
                        <m:accPr>
                          <m:ctrlPr>
                            <w:rPr>
                              <w:rFonts w:ascii="Cambria Math" w:hAnsi="Cambria Math"/>
                              <w:i/>
                            </w:rPr>
                          </m:ctrlPr>
                        </m:accPr>
                        <m:e>
                          <m:r>
                            <w:rPr>
                              <w:rFonts w:ascii="Cambria Math" w:hAnsi="Cambria Math"/>
                            </w:rPr>
                            <m:t>y</m:t>
                          </m:r>
                        </m:e>
                      </m:acc>
                    </m:e>
                  </m:d>
                </m:e>
                <m:sup>
                  <m:r>
                    <w:rPr>
                      <w:rFonts w:ascii="Cambria Math" w:hAnsi="Cambria Math"/>
                    </w:rPr>
                    <m:t>2</m:t>
                  </m:r>
                </m:sup>
              </m:sSup>
            </m:e>
          </m:nary>
          <m:r>
            <w:rPr>
              <w:rFonts w:ascii="Cambria Math" w:hAnsi="Cambria Math"/>
            </w:rPr>
            <m:t>,</m:t>
          </m:r>
        </m:oMath>
      </m:oMathPara>
    </w:p>
    <w:p w14:paraId="7C743B0D" w14:textId="684AC787" w:rsidR="00EB56D5" w:rsidRPr="00CB681B" w:rsidRDefault="001F3488" w:rsidP="00EB56D5">
      <w:pPr>
        <w:jc w:val="both"/>
        <w:rPr>
          <w:rFonts w:eastAsiaTheme="minorEastAsia"/>
          <w:lang w:val="en-US"/>
        </w:rPr>
      </w:pPr>
      <m:oMath>
        <m:acc>
          <m:accPr>
            <m:ctrlPr>
              <w:rPr>
                <w:rFonts w:ascii="Cambria Math" w:hAnsi="Cambria Math"/>
                <w:i/>
              </w:rPr>
            </m:ctrlPr>
          </m:accPr>
          <m:e>
            <m:r>
              <w:rPr>
                <w:rFonts w:ascii="Cambria Math" w:hAnsi="Cambria Math"/>
                <w:lang w:val="en-US"/>
              </w:rPr>
              <m:t>y</m:t>
            </m:r>
          </m:e>
        </m:acc>
      </m:oMath>
      <w:r w:rsidR="00B956FB">
        <w:rPr>
          <w:rFonts w:eastAsiaTheme="minorEastAsia"/>
          <w:lang w:val="en-US"/>
        </w:rPr>
        <w:t xml:space="preserve"> is the estimate of indicator </w:t>
      </w:r>
      <w:r w:rsidR="00B956FB" w:rsidRPr="00553960">
        <w:rPr>
          <w:rFonts w:ascii="Cambria" w:eastAsiaTheme="minorEastAsia" w:hAnsi="Cambria"/>
          <w:i/>
          <w:iCs/>
          <w:lang w:val="en-US"/>
        </w:rPr>
        <w:t xml:space="preserve">y </w:t>
      </w:r>
      <w:r w:rsidR="00B956FB">
        <w:rPr>
          <w:rFonts w:eastAsiaTheme="minorEastAsia"/>
          <w:lang w:val="en-US"/>
        </w:rPr>
        <w:t>obtained using the ICT Panel COVID-19 sample (with 2,511 respondents);</w:t>
      </w:r>
    </w:p>
    <w:p w14:paraId="120A6201" w14:textId="17D584D3" w:rsidR="00EB56D5" w:rsidRPr="00CB681B" w:rsidRDefault="001F3488" w:rsidP="00EB56D5">
      <w:pPr>
        <w:jc w:val="both"/>
        <w:rPr>
          <w:rFonts w:eastAsiaTheme="minorEastAsia"/>
          <w:lang w:val="en-US"/>
        </w:rPr>
      </w:pPr>
      <m:oMath>
        <m:sSub>
          <m:sSubPr>
            <m:ctrlPr>
              <w:rPr>
                <w:rFonts w:ascii="Cambria Math" w:hAnsi="Cambria Math"/>
                <w:i/>
              </w:rPr>
            </m:ctrlPr>
          </m:sSubPr>
          <m:e>
            <m:acc>
              <m:accPr>
                <m:ctrlPr>
                  <w:rPr>
                    <w:rFonts w:ascii="Cambria Math" w:hAnsi="Cambria Math"/>
                    <w:i/>
                  </w:rPr>
                </m:ctrlPr>
              </m:accPr>
              <m:e>
                <m:r>
                  <w:rPr>
                    <w:rFonts w:ascii="Cambria Math" w:hAnsi="Cambria Math"/>
                    <w:lang w:val="en-US"/>
                  </w:rPr>
                  <m:t>y</m:t>
                </m:r>
              </m:e>
            </m:acc>
          </m:e>
          <m:sub>
            <m:r>
              <w:rPr>
                <w:rFonts w:ascii="Cambria Math" w:hAnsi="Cambria Math"/>
                <w:lang w:val="en-US"/>
              </w:rPr>
              <m:t>r</m:t>
            </m:r>
          </m:sub>
        </m:sSub>
      </m:oMath>
      <w:r w:rsidR="00B956FB">
        <w:rPr>
          <w:rFonts w:eastAsiaTheme="minorEastAsia"/>
          <w:lang w:val="en-US"/>
        </w:rPr>
        <w:t xml:space="preserve"> is the estimate of indicator </w:t>
      </w:r>
      <w:r w:rsidR="00B956FB" w:rsidRPr="007A3120">
        <w:rPr>
          <w:rFonts w:ascii="Cambria" w:eastAsiaTheme="minorEastAsia" w:hAnsi="Cambria"/>
          <w:i/>
          <w:iCs/>
          <w:lang w:val="en-US"/>
        </w:rPr>
        <w:t>y</w:t>
      </w:r>
      <w:r w:rsidR="00B956FB">
        <w:rPr>
          <w:rFonts w:eastAsiaTheme="minorEastAsia"/>
          <w:lang w:val="en-US"/>
        </w:rPr>
        <w:t xml:space="preserve"> in replica </w:t>
      </w:r>
      <w:r w:rsidR="00B956FB" w:rsidRPr="007A3120">
        <w:rPr>
          <w:rFonts w:ascii="Cambria" w:eastAsiaTheme="minorEastAsia" w:hAnsi="Cambria"/>
          <w:i/>
          <w:iCs/>
          <w:lang w:val="en-US"/>
        </w:rPr>
        <w:t>r</w:t>
      </w:r>
      <w:r w:rsidR="00B956FB">
        <w:rPr>
          <w:rFonts w:eastAsiaTheme="minorEastAsia"/>
          <w:lang w:val="en-US"/>
        </w:rPr>
        <w:t>;</w:t>
      </w:r>
    </w:p>
    <w:p w14:paraId="335E72A4" w14:textId="77777777" w:rsidR="00EB56D5" w:rsidRDefault="00B956FB" w:rsidP="00EB56D5">
      <w:pPr>
        <w:jc w:val="both"/>
        <w:rPr>
          <w:rFonts w:eastAsiaTheme="minorEastAsia"/>
          <w:lang w:val="en-US"/>
        </w:rPr>
      </w:pPr>
      <m:oMath>
        <m:r>
          <w:rPr>
            <w:rFonts w:ascii="Cambria Math" w:hAnsi="Cambria Math"/>
            <w:lang w:val="en-US"/>
          </w:rPr>
          <m:t>R=200</m:t>
        </m:r>
      </m:oMath>
      <w:r>
        <w:rPr>
          <w:rFonts w:eastAsiaTheme="minorEastAsia"/>
          <w:lang w:val="en-US"/>
        </w:rPr>
        <w:t xml:space="preserve"> is the total of bootstrap replicas formed.</w:t>
      </w:r>
    </w:p>
    <w:p w14:paraId="4960D2D9" w14:textId="655E9B6A" w:rsidR="00EB56D5" w:rsidRPr="00CB681B" w:rsidRDefault="00B956FB" w:rsidP="00EB56D5">
      <w:pPr>
        <w:rPr>
          <w:rFonts w:eastAsiaTheme="minorEastAsia"/>
          <w:b/>
          <w:bCs/>
          <w:sz w:val="24"/>
          <w:szCs w:val="24"/>
          <w:lang w:val="en-US"/>
        </w:rPr>
      </w:pPr>
      <w:r w:rsidRPr="00412577">
        <w:rPr>
          <w:rFonts w:eastAsiaTheme="minorEastAsia"/>
          <w:b/>
          <w:bCs/>
          <w:sz w:val="24"/>
          <w:szCs w:val="24"/>
          <w:lang w:val="en-US"/>
        </w:rPr>
        <w:t>&lt;2&gt;Data dissemination</w:t>
      </w:r>
    </w:p>
    <w:p w14:paraId="22859D6F" w14:textId="73321D21" w:rsidR="00EB56D5" w:rsidRPr="00CB681B" w:rsidRDefault="00B956FB" w:rsidP="00EB56D5">
      <w:pPr>
        <w:jc w:val="both"/>
        <w:rPr>
          <w:lang w:val="en-US"/>
        </w:rPr>
      </w:pPr>
      <w:r w:rsidRPr="004F3930">
        <w:rPr>
          <w:lang w:val="en-US"/>
        </w:rPr>
        <w:t>The results of the ICT Panel are presented according to the classification variables described in the item “Domains of interest for analysis and dissemination”. In some results, rounding caused the sum of partial categories to be different from 100% for single-answer questions</w:t>
      </w:r>
      <w:r w:rsidR="000F5C8E">
        <w:rPr>
          <w:lang w:val="en-US"/>
        </w:rPr>
        <w:t>.</w:t>
      </w:r>
      <w:r w:rsidRPr="004F3930">
        <w:rPr>
          <w:lang w:val="en-US"/>
        </w:rPr>
        <w:t xml:space="preserve"> The sum of frequencies in multiple-answer questions usually exceeds 100%. It is worth mentioning that, in the tables of results, hyphens (-) are used to </w:t>
      </w:r>
      <w:r w:rsidR="000F5C8E">
        <w:rPr>
          <w:lang w:val="en-US"/>
        </w:rPr>
        <w:t>indicate that no respondents chose that item</w:t>
      </w:r>
      <w:r w:rsidRPr="004F3930">
        <w:rPr>
          <w:lang w:val="en-US"/>
        </w:rPr>
        <w:t>. Furthermore, since the results are presented without decimal places, cells with zero value mean that there was an answer to the item, but it was explicitly greater than zero and lower than one.</w:t>
      </w:r>
    </w:p>
    <w:p w14:paraId="7AF5738D" w14:textId="502004DC" w:rsidR="00EB56D5" w:rsidRPr="00CB681B" w:rsidRDefault="00B956FB" w:rsidP="00EB56D5">
      <w:pPr>
        <w:jc w:val="both"/>
        <w:rPr>
          <w:rFonts w:eastAsiaTheme="minorEastAsia"/>
          <w:lang w:val="en-US"/>
        </w:rPr>
      </w:pPr>
      <w:r w:rsidRPr="004F3930">
        <w:rPr>
          <w:lang w:val="en-US"/>
        </w:rPr>
        <w:lastRenderedPageBreak/>
        <w:t>The results of this survey are published online and made available on the Cetic.br/NIC.br website</w:t>
      </w:r>
      <w:r w:rsidR="00CB681B">
        <w:rPr>
          <w:lang w:val="en-US"/>
        </w:rPr>
        <w:t xml:space="preserve"> </w:t>
      </w:r>
      <w:r w:rsidRPr="004F3930">
        <w:rPr>
          <w:lang w:val="en-US"/>
        </w:rPr>
        <w:t>(</w:t>
      </w:r>
      <w:hyperlink r:id="rId8" w:history="1">
        <w:r w:rsidRPr="004F3930">
          <w:rPr>
            <w:lang w:val="en-US"/>
          </w:rPr>
          <w:t>http://www.cetic.br</w:t>
        </w:r>
      </w:hyperlink>
      <w:r w:rsidRPr="004F3930">
        <w:rPr>
          <w:lang w:val="en-US"/>
        </w:rPr>
        <w:t xml:space="preserve">). </w:t>
      </w:r>
      <w:bookmarkStart w:id="3" w:name="_Hlk162950893"/>
      <w:r w:rsidRPr="004F3930">
        <w:rPr>
          <w:lang w:val="en-US"/>
        </w:rPr>
        <w:t>The tables of proportions, totals, and margins of error for each indicator</w:t>
      </w:r>
      <w:bookmarkEnd w:id="3"/>
      <w:r w:rsidRPr="004F3930">
        <w:rPr>
          <w:lang w:val="en-US"/>
        </w:rPr>
        <w:t xml:space="preserve"> are available for download on the website. For comparison with previous editions of the ICT Households survey, the survey tables are provided considering the same cut</w:t>
      </w:r>
      <w:r w:rsidR="004E77CC">
        <w:rPr>
          <w:lang w:val="en-US"/>
        </w:rPr>
        <w:t>-</w:t>
      </w:r>
      <w:r w:rsidRPr="004F3930">
        <w:rPr>
          <w:lang w:val="en-US"/>
        </w:rPr>
        <w:t>out used in the ICT Panel</w:t>
      </w:r>
      <w:r w:rsidR="00C90E4A">
        <w:rPr>
          <w:lang w:val="en-US"/>
        </w:rPr>
        <w:t>,</w:t>
      </w:r>
      <w:r w:rsidRPr="004F3930">
        <w:rPr>
          <w:lang w:val="en-US"/>
        </w:rPr>
        <w:t xml:space="preserve"> when necessary, separating the common support population in the ICT Households survey.</w:t>
      </w:r>
    </w:p>
    <w:p w14:paraId="355EEC52" w14:textId="538F719C" w:rsidR="00EB56D5" w:rsidRPr="00CB681B" w:rsidRDefault="00B956FB" w:rsidP="00EB56D5">
      <w:pPr>
        <w:jc w:val="both"/>
        <w:rPr>
          <w:b/>
          <w:bCs/>
          <w:sz w:val="24"/>
          <w:szCs w:val="24"/>
          <w:lang w:val="en-US"/>
        </w:rPr>
      </w:pPr>
      <w:r w:rsidRPr="00412577">
        <w:rPr>
          <w:b/>
          <w:bCs/>
          <w:sz w:val="24"/>
          <w:szCs w:val="24"/>
          <w:lang w:val="en-US"/>
        </w:rPr>
        <w:t>&lt;2&gt;References</w:t>
      </w:r>
    </w:p>
    <w:p w14:paraId="159CE89F" w14:textId="77777777" w:rsidR="00EB56D5" w:rsidRPr="00CE468B" w:rsidRDefault="00B956FB" w:rsidP="00EB56D5">
      <w:pPr>
        <w:widowControl w:val="0"/>
        <w:autoSpaceDE w:val="0"/>
        <w:autoSpaceDN w:val="0"/>
        <w:adjustRightInd w:val="0"/>
        <w:rPr>
          <w:noProof/>
          <w:szCs w:val="28"/>
          <w:lang w:val="en-US"/>
        </w:rPr>
      </w:pPr>
      <w:r w:rsidRPr="00CE468B">
        <w:rPr>
          <w:noProof/>
          <w:szCs w:val="28"/>
          <w:lang w:val="en-US"/>
        </w:rPr>
        <w:t xml:space="preserve">Elliott, M. R., &amp; Valliant, R. (2017). Inference for nonprobability samples. </w:t>
      </w:r>
      <w:r w:rsidRPr="00CE468B">
        <w:rPr>
          <w:i/>
          <w:iCs/>
          <w:noProof/>
          <w:szCs w:val="28"/>
          <w:lang w:val="en-US"/>
        </w:rPr>
        <w:t>Statistical Science,</w:t>
      </w:r>
      <w:r w:rsidRPr="00CE468B">
        <w:rPr>
          <w:noProof/>
          <w:szCs w:val="28"/>
          <w:lang w:val="en-US"/>
        </w:rPr>
        <w:t xml:space="preserve"> </w:t>
      </w:r>
      <w:r w:rsidRPr="00CE468B">
        <w:rPr>
          <w:i/>
          <w:noProof/>
          <w:szCs w:val="28"/>
          <w:lang w:val="en-US"/>
        </w:rPr>
        <w:t>32</w:t>
      </w:r>
      <w:r w:rsidRPr="00CE468B">
        <w:rPr>
          <w:noProof/>
          <w:szCs w:val="28"/>
          <w:lang w:val="en-US"/>
        </w:rPr>
        <w:t xml:space="preserve">(2), 249–64. </w:t>
      </w:r>
    </w:p>
    <w:p w14:paraId="3F94E5A4" w14:textId="2C9BFC3C" w:rsidR="00EB56D5" w:rsidRPr="000F5C8E" w:rsidRDefault="00B956FB" w:rsidP="00EB56D5">
      <w:pPr>
        <w:widowControl w:val="0"/>
        <w:autoSpaceDE w:val="0"/>
        <w:autoSpaceDN w:val="0"/>
        <w:adjustRightInd w:val="0"/>
        <w:rPr>
          <w:noProof/>
          <w:szCs w:val="28"/>
        </w:rPr>
      </w:pPr>
      <w:r w:rsidRPr="00CE468B">
        <w:rPr>
          <w:noProof/>
          <w:szCs w:val="28"/>
          <w:lang w:val="en-US"/>
        </w:rPr>
        <w:t xml:space="preserve">International Telecommunication </w:t>
      </w:r>
      <w:r w:rsidRPr="00CE468B">
        <w:rPr>
          <w:noProof/>
          <w:sz w:val="20"/>
          <w:lang w:val="en-US"/>
        </w:rPr>
        <w:t>Union</w:t>
      </w:r>
      <w:r w:rsidRPr="00CE468B">
        <w:rPr>
          <w:noProof/>
          <w:szCs w:val="28"/>
          <w:lang w:val="en-US"/>
        </w:rPr>
        <w:t xml:space="preserve">. (2014). </w:t>
      </w:r>
      <w:r w:rsidRPr="00CE468B">
        <w:rPr>
          <w:i/>
          <w:noProof/>
          <w:szCs w:val="28"/>
          <w:lang w:val="en-US"/>
        </w:rPr>
        <w:t>Manual for measuring ICT access and use by households and individuals 2014</w:t>
      </w:r>
      <w:r w:rsidRPr="00CE468B">
        <w:rPr>
          <w:noProof/>
          <w:szCs w:val="28"/>
          <w:lang w:val="en-US"/>
        </w:rPr>
        <w:t xml:space="preserve">. </w:t>
      </w:r>
      <w:hyperlink r:id="rId9" w:history="1">
        <w:r w:rsidR="00CE468B" w:rsidRPr="000F5C8E">
          <w:rPr>
            <w:rStyle w:val="Hyperlink"/>
            <w:noProof/>
            <w:szCs w:val="28"/>
          </w:rPr>
          <w:t>http://www.itu.int/dms_pub/itu-d/opb/ind/D-IND-ITCMEAS-2014-PDF-E.pdf</w:t>
        </w:r>
      </w:hyperlink>
      <w:r w:rsidR="00CE468B" w:rsidRPr="000F5C8E">
        <w:rPr>
          <w:noProof/>
          <w:szCs w:val="28"/>
        </w:rPr>
        <w:t xml:space="preserve"> </w:t>
      </w:r>
    </w:p>
    <w:p w14:paraId="4E3AA22A" w14:textId="77777777" w:rsidR="00EB56D5" w:rsidRPr="00CE468B" w:rsidRDefault="00B956FB" w:rsidP="00EB56D5">
      <w:pPr>
        <w:widowControl w:val="0"/>
        <w:autoSpaceDE w:val="0"/>
        <w:autoSpaceDN w:val="0"/>
        <w:adjustRightInd w:val="0"/>
        <w:rPr>
          <w:noProof/>
          <w:szCs w:val="28"/>
          <w:lang w:val="en-US"/>
        </w:rPr>
      </w:pPr>
      <w:r w:rsidRPr="00CE468B">
        <w:rPr>
          <w:noProof/>
          <w:szCs w:val="28"/>
          <w:lang w:val="en-US"/>
        </w:rPr>
        <w:t xml:space="preserve">Valliant, R. (2019). Comparing alternatives for estimation from nonprobability samples. </w:t>
      </w:r>
      <w:r w:rsidRPr="00CE468B">
        <w:rPr>
          <w:i/>
          <w:iCs/>
          <w:noProof/>
          <w:szCs w:val="28"/>
          <w:lang w:val="en-US"/>
        </w:rPr>
        <w:t>Journal of Survey Statistics and Methodology</w:t>
      </w:r>
      <w:r w:rsidRPr="00CE468B">
        <w:rPr>
          <w:noProof/>
          <w:szCs w:val="28"/>
          <w:lang w:val="en-US"/>
        </w:rPr>
        <w:t xml:space="preserve">, </w:t>
      </w:r>
      <w:r w:rsidRPr="00CE468B">
        <w:rPr>
          <w:i/>
          <w:noProof/>
          <w:szCs w:val="28"/>
          <w:lang w:val="en-US"/>
        </w:rPr>
        <w:t>8</w:t>
      </w:r>
      <w:r w:rsidRPr="00CE468B">
        <w:rPr>
          <w:noProof/>
          <w:szCs w:val="28"/>
          <w:lang w:val="en-US"/>
        </w:rPr>
        <w:t>(2), 231–263.</w:t>
      </w:r>
    </w:p>
    <w:p w14:paraId="3A6BFA14" w14:textId="77777777" w:rsidR="00C775A1" w:rsidRPr="00A61A79" w:rsidRDefault="00C775A1" w:rsidP="00C775A1">
      <w:pPr>
        <w:pStyle w:val="PargrafodaLista"/>
        <w:spacing w:line="360" w:lineRule="auto"/>
        <w:ind w:left="2138" w:right="1416"/>
        <w:rPr>
          <w:rFonts w:ascii="Arial" w:hAnsi="Arial" w:cs="Arial"/>
          <w:sz w:val="20"/>
          <w:szCs w:val="20"/>
          <w:lang w:val="en-US"/>
        </w:rPr>
      </w:pPr>
    </w:p>
    <w:sectPr w:rsidR="00C775A1" w:rsidRPr="00A61A79" w:rsidSect="007B24C4">
      <w:headerReference w:type="default" r:id="rId10"/>
      <w:footerReference w:type="default" r:id="rId11"/>
      <w:pgSz w:w="11906" w:h="16838"/>
      <w:pgMar w:top="2977" w:right="849" w:bottom="1843" w:left="851" w:header="73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783D2" w14:textId="77777777" w:rsidR="00221130" w:rsidRDefault="00221130">
      <w:pPr>
        <w:spacing w:after="0" w:line="240" w:lineRule="auto"/>
      </w:pPr>
      <w:r>
        <w:separator/>
      </w:r>
    </w:p>
  </w:endnote>
  <w:endnote w:type="continuationSeparator" w:id="0">
    <w:p w14:paraId="59103AE9" w14:textId="77777777" w:rsidR="00221130" w:rsidRDefault="00221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tima LT Std">
    <w:altName w:val="Optima LT St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09D12" w14:textId="77777777" w:rsidR="00B632DB" w:rsidRDefault="00B956FB" w:rsidP="007B24C4">
    <w:pPr>
      <w:pStyle w:val="Rodap"/>
      <w:jc w:val="center"/>
    </w:pPr>
    <w:r>
      <w:rPr>
        <w:noProof/>
        <w:lang w:val="en-US"/>
      </w:rPr>
      <w:drawing>
        <wp:inline distT="0" distB="0" distL="0" distR="0" wp14:anchorId="0524AB03" wp14:editId="6AC14869">
          <wp:extent cx="6099150" cy="86046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11499" name="Picture 6" descr="webmaster:Comunicacao:Papelaria:2016:CEPTRO.br:Papel de Carta:papel-de-carta-_nic_2016.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99150" cy="860460"/>
                  </a:xfrm>
                  <a:prstGeom prst="rect">
                    <a:avLst/>
                  </a:prstGeom>
                  <a:noFill/>
                  <a:ln>
                    <a:noFill/>
                  </a:ln>
                </pic:spPr>
              </pic:pic>
            </a:graphicData>
          </a:graphic>
        </wp:inline>
      </w:drawing>
    </w:r>
  </w:p>
  <w:p w14:paraId="3AA682CC" w14:textId="77777777" w:rsidR="00B632DB" w:rsidRDefault="00B632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10075" w14:textId="77777777" w:rsidR="00221130" w:rsidRDefault="00221130" w:rsidP="005D67F5">
      <w:pPr>
        <w:spacing w:after="0" w:line="240" w:lineRule="auto"/>
      </w:pPr>
      <w:r>
        <w:separator/>
      </w:r>
    </w:p>
  </w:footnote>
  <w:footnote w:type="continuationSeparator" w:id="0">
    <w:p w14:paraId="2C85053B" w14:textId="77777777" w:rsidR="00221130" w:rsidRDefault="00221130" w:rsidP="005D67F5">
      <w:pPr>
        <w:spacing w:after="0" w:line="240" w:lineRule="auto"/>
      </w:pPr>
      <w:r>
        <w:continuationSeparator/>
      </w:r>
    </w:p>
  </w:footnote>
  <w:footnote w:id="1">
    <w:p w14:paraId="1403D870" w14:textId="4AAB132F" w:rsidR="0014288A" w:rsidRPr="00CB681B" w:rsidRDefault="00B956FB" w:rsidP="0014288A">
      <w:pPr>
        <w:pStyle w:val="Textodenotaderodap"/>
        <w:rPr>
          <w:lang w:val="en-US"/>
        </w:rPr>
      </w:pPr>
      <w:r>
        <w:rPr>
          <w:rStyle w:val="Refdenotaderodap"/>
        </w:rPr>
        <w:footnoteRef/>
      </w:r>
      <w:r>
        <w:rPr>
          <w:lang w:val="en-US"/>
        </w:rPr>
        <w:t xml:space="preserve"> The levels of education presented refer to the aggregation of the levels of education declared that are equal to or lower than the categories presented, that is, Elementary Education includes no formal education, </w:t>
      </w:r>
      <w:r w:rsidR="00346D70">
        <w:rPr>
          <w:lang w:val="en-US"/>
        </w:rPr>
        <w:t xml:space="preserve">completion of </w:t>
      </w:r>
      <w:r>
        <w:rPr>
          <w:lang w:val="en-US"/>
        </w:rPr>
        <w:t>preschool</w:t>
      </w:r>
      <w:r w:rsidR="00346D70">
        <w:rPr>
          <w:lang w:val="en-US"/>
        </w:rPr>
        <w:t>,</w:t>
      </w:r>
      <w:r>
        <w:rPr>
          <w:lang w:val="en-US"/>
        </w:rPr>
        <w:t xml:space="preserve"> and complete or incomplete </w:t>
      </w:r>
      <w:r w:rsidR="00CE468B">
        <w:rPr>
          <w:lang w:val="en-US"/>
        </w:rPr>
        <w:t xml:space="preserve">Primary </w:t>
      </w:r>
      <w:r>
        <w:rPr>
          <w:lang w:val="en-US"/>
        </w:rPr>
        <w:t xml:space="preserve">Education. The same applies to Secondary and Tertiary Education.  </w:t>
      </w:r>
    </w:p>
  </w:footnote>
  <w:footnote w:id="2">
    <w:p w14:paraId="7292F090" w14:textId="573E075B" w:rsidR="00EB56D5" w:rsidRPr="00CB681B" w:rsidRDefault="00B956FB" w:rsidP="00EB56D5">
      <w:pPr>
        <w:pStyle w:val="Textodenotaderodap"/>
        <w:rPr>
          <w:u w:val="single"/>
          <w:lang w:val="en-US"/>
        </w:rPr>
      </w:pPr>
      <w:r>
        <w:rPr>
          <w:rStyle w:val="Refdenotaderodap"/>
        </w:rPr>
        <w:footnoteRef/>
      </w:r>
      <w:r>
        <w:rPr>
          <w:lang w:val="en-US"/>
        </w:rPr>
        <w:t xml:space="preserve"> More details at the Cetic.br/NIC.br website.</w:t>
      </w:r>
      <w:r w:rsidR="00CE468B">
        <w:rPr>
          <w:lang w:val="en-US"/>
        </w:rPr>
        <w:t xml:space="preserve"> </w:t>
      </w:r>
      <w:hyperlink r:id="rId1" w:history="1">
        <w:r w:rsidR="00CE468B" w:rsidRPr="00690278">
          <w:rPr>
            <w:rStyle w:val="Hyperlink"/>
            <w:lang w:val="en-US"/>
          </w:rPr>
          <w:t>http://cetic.br/media/microdados/256/ticdom_2019_relatorio_metodologico_v1.0.pdf</w:t>
        </w:r>
      </w:hyperlink>
      <w:r w:rsidR="00CE468B">
        <w:rPr>
          <w:lang w:val="en-US"/>
        </w:rPr>
        <w:t xml:space="preserve"> </w:t>
      </w:r>
    </w:p>
  </w:footnote>
  <w:footnote w:id="3">
    <w:p w14:paraId="0A23C724" w14:textId="77777777" w:rsidR="009B3033" w:rsidRPr="00CB681B" w:rsidRDefault="00B956FB">
      <w:pPr>
        <w:pStyle w:val="Textodenotaderodap"/>
        <w:rPr>
          <w:lang w:val="en-US"/>
        </w:rPr>
      </w:pPr>
      <w:r>
        <w:rPr>
          <w:rStyle w:val="Refdenotaderodap"/>
        </w:rPr>
        <w:footnoteRef/>
      </w:r>
      <w:r>
        <w:rPr>
          <w:lang w:val="en-US"/>
        </w:rPr>
        <w:t xml:space="preserve"> The methodology for estimating the pseudo-weights is presented in the next section.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B5BAD" w14:textId="77777777" w:rsidR="005D67F5" w:rsidRPr="005D67F5" w:rsidRDefault="00B956FB" w:rsidP="007B24C4">
    <w:pPr>
      <w:pStyle w:val="Cabealho"/>
    </w:pPr>
    <w:r>
      <w:rPr>
        <w:noProof/>
        <w:lang w:val="en-US"/>
      </w:rPr>
      <w:drawing>
        <wp:inline distT="0" distB="0" distL="0" distR="0" wp14:anchorId="19273C36" wp14:editId="113DA662">
          <wp:extent cx="944545" cy="935662"/>
          <wp:effectExtent l="0" t="0" r="825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12454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58101" cy="9490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26F3"/>
    <w:multiLevelType w:val="hybridMultilevel"/>
    <w:tmpl w:val="D2BE4E7A"/>
    <w:lvl w:ilvl="0" w:tplc="0B921E4A">
      <w:start w:val="1"/>
      <w:numFmt w:val="decimal"/>
      <w:lvlText w:val="%1."/>
      <w:lvlJc w:val="left"/>
      <w:pPr>
        <w:ind w:left="2138" w:hanging="360"/>
      </w:pPr>
    </w:lvl>
    <w:lvl w:ilvl="1" w:tplc="4B16F948" w:tentative="1">
      <w:start w:val="1"/>
      <w:numFmt w:val="lowerLetter"/>
      <w:lvlText w:val="%2."/>
      <w:lvlJc w:val="left"/>
      <w:pPr>
        <w:ind w:left="2858" w:hanging="360"/>
      </w:pPr>
    </w:lvl>
    <w:lvl w:ilvl="2" w:tplc="F41674D6" w:tentative="1">
      <w:start w:val="1"/>
      <w:numFmt w:val="lowerRoman"/>
      <w:lvlText w:val="%3."/>
      <w:lvlJc w:val="right"/>
      <w:pPr>
        <w:ind w:left="3578" w:hanging="180"/>
      </w:pPr>
    </w:lvl>
    <w:lvl w:ilvl="3" w:tplc="A7F8678A" w:tentative="1">
      <w:start w:val="1"/>
      <w:numFmt w:val="decimal"/>
      <w:lvlText w:val="%4."/>
      <w:lvlJc w:val="left"/>
      <w:pPr>
        <w:ind w:left="4298" w:hanging="360"/>
      </w:pPr>
    </w:lvl>
    <w:lvl w:ilvl="4" w:tplc="9DE84C86" w:tentative="1">
      <w:start w:val="1"/>
      <w:numFmt w:val="lowerLetter"/>
      <w:lvlText w:val="%5."/>
      <w:lvlJc w:val="left"/>
      <w:pPr>
        <w:ind w:left="5018" w:hanging="360"/>
      </w:pPr>
    </w:lvl>
    <w:lvl w:ilvl="5" w:tplc="1C124FC8" w:tentative="1">
      <w:start w:val="1"/>
      <w:numFmt w:val="lowerRoman"/>
      <w:lvlText w:val="%6."/>
      <w:lvlJc w:val="right"/>
      <w:pPr>
        <w:ind w:left="5738" w:hanging="180"/>
      </w:pPr>
    </w:lvl>
    <w:lvl w:ilvl="6" w:tplc="0986CDD2" w:tentative="1">
      <w:start w:val="1"/>
      <w:numFmt w:val="decimal"/>
      <w:lvlText w:val="%7."/>
      <w:lvlJc w:val="left"/>
      <w:pPr>
        <w:ind w:left="6458" w:hanging="360"/>
      </w:pPr>
    </w:lvl>
    <w:lvl w:ilvl="7" w:tplc="6C84648E" w:tentative="1">
      <w:start w:val="1"/>
      <w:numFmt w:val="lowerLetter"/>
      <w:lvlText w:val="%8."/>
      <w:lvlJc w:val="left"/>
      <w:pPr>
        <w:ind w:left="7178" w:hanging="360"/>
      </w:pPr>
    </w:lvl>
    <w:lvl w:ilvl="8" w:tplc="0F14B71E" w:tentative="1">
      <w:start w:val="1"/>
      <w:numFmt w:val="lowerRoman"/>
      <w:lvlText w:val="%9."/>
      <w:lvlJc w:val="right"/>
      <w:pPr>
        <w:ind w:left="7898" w:hanging="180"/>
      </w:pPr>
    </w:lvl>
  </w:abstractNum>
  <w:abstractNum w:abstractNumId="1" w15:restartNumberingAfterBreak="0">
    <w:nsid w:val="02D71FE0"/>
    <w:multiLevelType w:val="hybridMultilevel"/>
    <w:tmpl w:val="446A1066"/>
    <w:lvl w:ilvl="0" w:tplc="17E27C54">
      <w:start w:val="1"/>
      <w:numFmt w:val="decimal"/>
      <w:lvlText w:val="%1."/>
      <w:lvlJc w:val="left"/>
      <w:pPr>
        <w:ind w:left="360" w:hanging="360"/>
      </w:pPr>
    </w:lvl>
    <w:lvl w:ilvl="1" w:tplc="2CBCAED2" w:tentative="1">
      <w:start w:val="1"/>
      <w:numFmt w:val="lowerLetter"/>
      <w:lvlText w:val="%2."/>
      <w:lvlJc w:val="left"/>
      <w:pPr>
        <w:ind w:left="1080" w:hanging="360"/>
      </w:pPr>
    </w:lvl>
    <w:lvl w:ilvl="2" w:tplc="61FA4186" w:tentative="1">
      <w:start w:val="1"/>
      <w:numFmt w:val="lowerRoman"/>
      <w:lvlText w:val="%3."/>
      <w:lvlJc w:val="right"/>
      <w:pPr>
        <w:ind w:left="1800" w:hanging="180"/>
      </w:pPr>
    </w:lvl>
    <w:lvl w:ilvl="3" w:tplc="19121DC0" w:tentative="1">
      <w:start w:val="1"/>
      <w:numFmt w:val="decimal"/>
      <w:lvlText w:val="%4."/>
      <w:lvlJc w:val="left"/>
      <w:pPr>
        <w:ind w:left="2520" w:hanging="360"/>
      </w:pPr>
    </w:lvl>
    <w:lvl w:ilvl="4" w:tplc="BB66AB24" w:tentative="1">
      <w:start w:val="1"/>
      <w:numFmt w:val="lowerLetter"/>
      <w:lvlText w:val="%5."/>
      <w:lvlJc w:val="left"/>
      <w:pPr>
        <w:ind w:left="3240" w:hanging="360"/>
      </w:pPr>
    </w:lvl>
    <w:lvl w:ilvl="5" w:tplc="17847742" w:tentative="1">
      <w:start w:val="1"/>
      <w:numFmt w:val="lowerRoman"/>
      <w:lvlText w:val="%6."/>
      <w:lvlJc w:val="right"/>
      <w:pPr>
        <w:ind w:left="3960" w:hanging="180"/>
      </w:pPr>
    </w:lvl>
    <w:lvl w:ilvl="6" w:tplc="A8E00B4E" w:tentative="1">
      <w:start w:val="1"/>
      <w:numFmt w:val="decimal"/>
      <w:lvlText w:val="%7."/>
      <w:lvlJc w:val="left"/>
      <w:pPr>
        <w:ind w:left="4680" w:hanging="360"/>
      </w:pPr>
    </w:lvl>
    <w:lvl w:ilvl="7" w:tplc="14B6DD28" w:tentative="1">
      <w:start w:val="1"/>
      <w:numFmt w:val="lowerLetter"/>
      <w:lvlText w:val="%8."/>
      <w:lvlJc w:val="left"/>
      <w:pPr>
        <w:ind w:left="5400" w:hanging="360"/>
      </w:pPr>
    </w:lvl>
    <w:lvl w:ilvl="8" w:tplc="D1309950" w:tentative="1">
      <w:start w:val="1"/>
      <w:numFmt w:val="lowerRoman"/>
      <w:lvlText w:val="%9."/>
      <w:lvlJc w:val="right"/>
      <w:pPr>
        <w:ind w:left="6120" w:hanging="180"/>
      </w:pPr>
    </w:lvl>
  </w:abstractNum>
  <w:abstractNum w:abstractNumId="2" w15:restartNumberingAfterBreak="0">
    <w:nsid w:val="07E16CE8"/>
    <w:multiLevelType w:val="hybridMultilevel"/>
    <w:tmpl w:val="A658ED80"/>
    <w:lvl w:ilvl="0" w:tplc="7166B736">
      <w:start w:val="1"/>
      <w:numFmt w:val="bullet"/>
      <w:lvlText w:val=""/>
      <w:lvlJc w:val="left"/>
      <w:pPr>
        <w:ind w:left="2138" w:hanging="360"/>
      </w:pPr>
      <w:rPr>
        <w:rFonts w:ascii="Symbol" w:hAnsi="Symbol" w:hint="default"/>
      </w:rPr>
    </w:lvl>
    <w:lvl w:ilvl="1" w:tplc="0052B1E4" w:tentative="1">
      <w:start w:val="1"/>
      <w:numFmt w:val="bullet"/>
      <w:lvlText w:val="o"/>
      <w:lvlJc w:val="left"/>
      <w:pPr>
        <w:ind w:left="2858" w:hanging="360"/>
      </w:pPr>
      <w:rPr>
        <w:rFonts w:ascii="Courier New" w:hAnsi="Courier New" w:cs="Courier New" w:hint="default"/>
      </w:rPr>
    </w:lvl>
    <w:lvl w:ilvl="2" w:tplc="1D8025D4" w:tentative="1">
      <w:start w:val="1"/>
      <w:numFmt w:val="bullet"/>
      <w:lvlText w:val=""/>
      <w:lvlJc w:val="left"/>
      <w:pPr>
        <w:ind w:left="3578" w:hanging="360"/>
      </w:pPr>
      <w:rPr>
        <w:rFonts w:ascii="Wingdings" w:hAnsi="Wingdings" w:hint="default"/>
      </w:rPr>
    </w:lvl>
    <w:lvl w:ilvl="3" w:tplc="BFBC37F8" w:tentative="1">
      <w:start w:val="1"/>
      <w:numFmt w:val="bullet"/>
      <w:lvlText w:val=""/>
      <w:lvlJc w:val="left"/>
      <w:pPr>
        <w:ind w:left="4298" w:hanging="360"/>
      </w:pPr>
      <w:rPr>
        <w:rFonts w:ascii="Symbol" w:hAnsi="Symbol" w:hint="default"/>
      </w:rPr>
    </w:lvl>
    <w:lvl w:ilvl="4" w:tplc="AE3E2B7C" w:tentative="1">
      <w:start w:val="1"/>
      <w:numFmt w:val="bullet"/>
      <w:lvlText w:val="o"/>
      <w:lvlJc w:val="left"/>
      <w:pPr>
        <w:ind w:left="5018" w:hanging="360"/>
      </w:pPr>
      <w:rPr>
        <w:rFonts w:ascii="Courier New" w:hAnsi="Courier New" w:cs="Courier New" w:hint="default"/>
      </w:rPr>
    </w:lvl>
    <w:lvl w:ilvl="5" w:tplc="A5E4A4DA" w:tentative="1">
      <w:start w:val="1"/>
      <w:numFmt w:val="bullet"/>
      <w:lvlText w:val=""/>
      <w:lvlJc w:val="left"/>
      <w:pPr>
        <w:ind w:left="5738" w:hanging="360"/>
      </w:pPr>
      <w:rPr>
        <w:rFonts w:ascii="Wingdings" w:hAnsi="Wingdings" w:hint="default"/>
      </w:rPr>
    </w:lvl>
    <w:lvl w:ilvl="6" w:tplc="BD1EC06A" w:tentative="1">
      <w:start w:val="1"/>
      <w:numFmt w:val="bullet"/>
      <w:lvlText w:val=""/>
      <w:lvlJc w:val="left"/>
      <w:pPr>
        <w:ind w:left="6458" w:hanging="360"/>
      </w:pPr>
      <w:rPr>
        <w:rFonts w:ascii="Symbol" w:hAnsi="Symbol" w:hint="default"/>
      </w:rPr>
    </w:lvl>
    <w:lvl w:ilvl="7" w:tplc="216A3162" w:tentative="1">
      <w:start w:val="1"/>
      <w:numFmt w:val="bullet"/>
      <w:lvlText w:val="o"/>
      <w:lvlJc w:val="left"/>
      <w:pPr>
        <w:ind w:left="7178" w:hanging="360"/>
      </w:pPr>
      <w:rPr>
        <w:rFonts w:ascii="Courier New" w:hAnsi="Courier New" w:cs="Courier New" w:hint="default"/>
      </w:rPr>
    </w:lvl>
    <w:lvl w:ilvl="8" w:tplc="F10ACC9A" w:tentative="1">
      <w:start w:val="1"/>
      <w:numFmt w:val="bullet"/>
      <w:lvlText w:val=""/>
      <w:lvlJc w:val="left"/>
      <w:pPr>
        <w:ind w:left="7898" w:hanging="360"/>
      </w:pPr>
      <w:rPr>
        <w:rFonts w:ascii="Wingdings" w:hAnsi="Wingdings" w:hint="default"/>
      </w:rPr>
    </w:lvl>
  </w:abstractNum>
  <w:abstractNum w:abstractNumId="3" w15:restartNumberingAfterBreak="0">
    <w:nsid w:val="1A1962C0"/>
    <w:multiLevelType w:val="hybridMultilevel"/>
    <w:tmpl w:val="3724C62C"/>
    <w:lvl w:ilvl="0" w:tplc="B4A813C6">
      <w:start w:val="1"/>
      <w:numFmt w:val="upperRoman"/>
      <w:lvlText w:val="%1."/>
      <w:lvlJc w:val="right"/>
      <w:pPr>
        <w:ind w:left="720" w:hanging="360"/>
      </w:pPr>
    </w:lvl>
    <w:lvl w:ilvl="1" w:tplc="ECD2EA66" w:tentative="1">
      <w:start w:val="1"/>
      <w:numFmt w:val="lowerLetter"/>
      <w:lvlText w:val="%2."/>
      <w:lvlJc w:val="left"/>
      <w:pPr>
        <w:ind w:left="1440" w:hanging="360"/>
      </w:pPr>
    </w:lvl>
    <w:lvl w:ilvl="2" w:tplc="C9EE3F2C" w:tentative="1">
      <w:start w:val="1"/>
      <w:numFmt w:val="lowerRoman"/>
      <w:lvlText w:val="%3."/>
      <w:lvlJc w:val="right"/>
      <w:pPr>
        <w:ind w:left="2160" w:hanging="180"/>
      </w:pPr>
    </w:lvl>
    <w:lvl w:ilvl="3" w:tplc="D3AC2396" w:tentative="1">
      <w:start w:val="1"/>
      <w:numFmt w:val="decimal"/>
      <w:lvlText w:val="%4."/>
      <w:lvlJc w:val="left"/>
      <w:pPr>
        <w:ind w:left="2880" w:hanging="360"/>
      </w:pPr>
    </w:lvl>
    <w:lvl w:ilvl="4" w:tplc="84868BDC" w:tentative="1">
      <w:start w:val="1"/>
      <w:numFmt w:val="lowerLetter"/>
      <w:lvlText w:val="%5."/>
      <w:lvlJc w:val="left"/>
      <w:pPr>
        <w:ind w:left="3600" w:hanging="360"/>
      </w:pPr>
    </w:lvl>
    <w:lvl w:ilvl="5" w:tplc="F18A0320" w:tentative="1">
      <w:start w:val="1"/>
      <w:numFmt w:val="lowerRoman"/>
      <w:lvlText w:val="%6."/>
      <w:lvlJc w:val="right"/>
      <w:pPr>
        <w:ind w:left="4320" w:hanging="180"/>
      </w:pPr>
    </w:lvl>
    <w:lvl w:ilvl="6" w:tplc="3D52E684" w:tentative="1">
      <w:start w:val="1"/>
      <w:numFmt w:val="decimal"/>
      <w:lvlText w:val="%7."/>
      <w:lvlJc w:val="left"/>
      <w:pPr>
        <w:ind w:left="5040" w:hanging="360"/>
      </w:pPr>
    </w:lvl>
    <w:lvl w:ilvl="7" w:tplc="F88E2A96" w:tentative="1">
      <w:start w:val="1"/>
      <w:numFmt w:val="lowerLetter"/>
      <w:lvlText w:val="%8."/>
      <w:lvlJc w:val="left"/>
      <w:pPr>
        <w:ind w:left="5760" w:hanging="360"/>
      </w:pPr>
    </w:lvl>
    <w:lvl w:ilvl="8" w:tplc="155E1A38" w:tentative="1">
      <w:start w:val="1"/>
      <w:numFmt w:val="lowerRoman"/>
      <w:lvlText w:val="%9."/>
      <w:lvlJc w:val="right"/>
      <w:pPr>
        <w:ind w:left="6480" w:hanging="180"/>
      </w:pPr>
    </w:lvl>
  </w:abstractNum>
  <w:abstractNum w:abstractNumId="4" w15:restartNumberingAfterBreak="0">
    <w:nsid w:val="1BAB1E61"/>
    <w:multiLevelType w:val="hybridMultilevel"/>
    <w:tmpl w:val="551EB974"/>
    <w:lvl w:ilvl="0" w:tplc="36BC33D2">
      <w:start w:val="1"/>
      <w:numFmt w:val="upperRoman"/>
      <w:lvlText w:val="%1."/>
      <w:lvlJc w:val="right"/>
      <w:pPr>
        <w:ind w:left="360" w:hanging="360"/>
      </w:pPr>
    </w:lvl>
    <w:lvl w:ilvl="1" w:tplc="71540100" w:tentative="1">
      <w:start w:val="1"/>
      <w:numFmt w:val="lowerLetter"/>
      <w:lvlText w:val="%2."/>
      <w:lvlJc w:val="left"/>
      <w:pPr>
        <w:ind w:left="1080" w:hanging="360"/>
      </w:pPr>
    </w:lvl>
    <w:lvl w:ilvl="2" w:tplc="A77E08D2" w:tentative="1">
      <w:start w:val="1"/>
      <w:numFmt w:val="lowerRoman"/>
      <w:lvlText w:val="%3."/>
      <w:lvlJc w:val="right"/>
      <w:pPr>
        <w:ind w:left="1800" w:hanging="180"/>
      </w:pPr>
    </w:lvl>
    <w:lvl w:ilvl="3" w:tplc="AEACA798" w:tentative="1">
      <w:start w:val="1"/>
      <w:numFmt w:val="decimal"/>
      <w:lvlText w:val="%4."/>
      <w:lvlJc w:val="left"/>
      <w:pPr>
        <w:ind w:left="2520" w:hanging="360"/>
      </w:pPr>
    </w:lvl>
    <w:lvl w:ilvl="4" w:tplc="0EE832C6" w:tentative="1">
      <w:start w:val="1"/>
      <w:numFmt w:val="lowerLetter"/>
      <w:lvlText w:val="%5."/>
      <w:lvlJc w:val="left"/>
      <w:pPr>
        <w:ind w:left="3240" w:hanging="360"/>
      </w:pPr>
    </w:lvl>
    <w:lvl w:ilvl="5" w:tplc="22A44232" w:tentative="1">
      <w:start w:val="1"/>
      <w:numFmt w:val="lowerRoman"/>
      <w:lvlText w:val="%6."/>
      <w:lvlJc w:val="right"/>
      <w:pPr>
        <w:ind w:left="3960" w:hanging="180"/>
      </w:pPr>
    </w:lvl>
    <w:lvl w:ilvl="6" w:tplc="062C375C" w:tentative="1">
      <w:start w:val="1"/>
      <w:numFmt w:val="decimal"/>
      <w:lvlText w:val="%7."/>
      <w:lvlJc w:val="left"/>
      <w:pPr>
        <w:ind w:left="4680" w:hanging="360"/>
      </w:pPr>
    </w:lvl>
    <w:lvl w:ilvl="7" w:tplc="17B013F8" w:tentative="1">
      <w:start w:val="1"/>
      <w:numFmt w:val="lowerLetter"/>
      <w:lvlText w:val="%8."/>
      <w:lvlJc w:val="left"/>
      <w:pPr>
        <w:ind w:left="5400" w:hanging="360"/>
      </w:pPr>
    </w:lvl>
    <w:lvl w:ilvl="8" w:tplc="6F94F2A6" w:tentative="1">
      <w:start w:val="1"/>
      <w:numFmt w:val="lowerRoman"/>
      <w:lvlText w:val="%9."/>
      <w:lvlJc w:val="right"/>
      <w:pPr>
        <w:ind w:left="6120" w:hanging="180"/>
      </w:pPr>
    </w:lvl>
  </w:abstractNum>
  <w:abstractNum w:abstractNumId="5" w15:restartNumberingAfterBreak="0">
    <w:nsid w:val="20A51F2D"/>
    <w:multiLevelType w:val="hybridMultilevel"/>
    <w:tmpl w:val="5CEAE51E"/>
    <w:lvl w:ilvl="0" w:tplc="BBF07E4C">
      <w:start w:val="1"/>
      <w:numFmt w:val="decimal"/>
      <w:lvlText w:val="%1."/>
      <w:lvlJc w:val="left"/>
      <w:pPr>
        <w:ind w:left="360" w:hanging="360"/>
      </w:pPr>
    </w:lvl>
    <w:lvl w:ilvl="1" w:tplc="AA7845C4" w:tentative="1">
      <w:start w:val="1"/>
      <w:numFmt w:val="lowerLetter"/>
      <w:lvlText w:val="%2."/>
      <w:lvlJc w:val="left"/>
      <w:pPr>
        <w:ind w:left="1080" w:hanging="360"/>
      </w:pPr>
    </w:lvl>
    <w:lvl w:ilvl="2" w:tplc="FA1A6BE4" w:tentative="1">
      <w:start w:val="1"/>
      <w:numFmt w:val="lowerRoman"/>
      <w:lvlText w:val="%3."/>
      <w:lvlJc w:val="right"/>
      <w:pPr>
        <w:ind w:left="1800" w:hanging="180"/>
      </w:pPr>
    </w:lvl>
    <w:lvl w:ilvl="3" w:tplc="82AA1540" w:tentative="1">
      <w:start w:val="1"/>
      <w:numFmt w:val="decimal"/>
      <w:lvlText w:val="%4."/>
      <w:lvlJc w:val="left"/>
      <w:pPr>
        <w:ind w:left="2520" w:hanging="360"/>
      </w:pPr>
    </w:lvl>
    <w:lvl w:ilvl="4" w:tplc="B60EC900" w:tentative="1">
      <w:start w:val="1"/>
      <w:numFmt w:val="lowerLetter"/>
      <w:lvlText w:val="%5."/>
      <w:lvlJc w:val="left"/>
      <w:pPr>
        <w:ind w:left="3240" w:hanging="360"/>
      </w:pPr>
    </w:lvl>
    <w:lvl w:ilvl="5" w:tplc="7D42EAD6" w:tentative="1">
      <w:start w:val="1"/>
      <w:numFmt w:val="lowerRoman"/>
      <w:lvlText w:val="%6."/>
      <w:lvlJc w:val="right"/>
      <w:pPr>
        <w:ind w:left="3960" w:hanging="180"/>
      </w:pPr>
    </w:lvl>
    <w:lvl w:ilvl="6" w:tplc="D3F4DBFE" w:tentative="1">
      <w:start w:val="1"/>
      <w:numFmt w:val="decimal"/>
      <w:lvlText w:val="%7."/>
      <w:lvlJc w:val="left"/>
      <w:pPr>
        <w:ind w:left="4680" w:hanging="360"/>
      </w:pPr>
    </w:lvl>
    <w:lvl w:ilvl="7" w:tplc="21283E14" w:tentative="1">
      <w:start w:val="1"/>
      <w:numFmt w:val="lowerLetter"/>
      <w:lvlText w:val="%8."/>
      <w:lvlJc w:val="left"/>
      <w:pPr>
        <w:ind w:left="5400" w:hanging="360"/>
      </w:pPr>
    </w:lvl>
    <w:lvl w:ilvl="8" w:tplc="D2ACBFA4" w:tentative="1">
      <w:start w:val="1"/>
      <w:numFmt w:val="lowerRoman"/>
      <w:lvlText w:val="%9."/>
      <w:lvlJc w:val="right"/>
      <w:pPr>
        <w:ind w:left="6120" w:hanging="180"/>
      </w:pPr>
    </w:lvl>
  </w:abstractNum>
  <w:abstractNum w:abstractNumId="6" w15:restartNumberingAfterBreak="0">
    <w:nsid w:val="36DF5312"/>
    <w:multiLevelType w:val="hybridMultilevel"/>
    <w:tmpl w:val="352C376A"/>
    <w:lvl w:ilvl="0" w:tplc="02E4644C">
      <w:start w:val="1"/>
      <w:numFmt w:val="upperRoman"/>
      <w:lvlText w:val="%1."/>
      <w:lvlJc w:val="right"/>
      <w:pPr>
        <w:ind w:left="360" w:hanging="360"/>
      </w:pPr>
    </w:lvl>
    <w:lvl w:ilvl="1" w:tplc="385EF980" w:tentative="1">
      <w:start w:val="1"/>
      <w:numFmt w:val="lowerLetter"/>
      <w:lvlText w:val="%2."/>
      <w:lvlJc w:val="left"/>
      <w:pPr>
        <w:ind w:left="1080" w:hanging="360"/>
      </w:pPr>
    </w:lvl>
    <w:lvl w:ilvl="2" w:tplc="6024A848" w:tentative="1">
      <w:start w:val="1"/>
      <w:numFmt w:val="lowerRoman"/>
      <w:lvlText w:val="%3."/>
      <w:lvlJc w:val="right"/>
      <w:pPr>
        <w:ind w:left="1800" w:hanging="180"/>
      </w:pPr>
    </w:lvl>
    <w:lvl w:ilvl="3" w:tplc="3BB2A124" w:tentative="1">
      <w:start w:val="1"/>
      <w:numFmt w:val="decimal"/>
      <w:lvlText w:val="%4."/>
      <w:lvlJc w:val="left"/>
      <w:pPr>
        <w:ind w:left="2520" w:hanging="360"/>
      </w:pPr>
    </w:lvl>
    <w:lvl w:ilvl="4" w:tplc="78000EEA" w:tentative="1">
      <w:start w:val="1"/>
      <w:numFmt w:val="lowerLetter"/>
      <w:lvlText w:val="%5."/>
      <w:lvlJc w:val="left"/>
      <w:pPr>
        <w:ind w:left="3240" w:hanging="360"/>
      </w:pPr>
    </w:lvl>
    <w:lvl w:ilvl="5" w:tplc="A5C63C36" w:tentative="1">
      <w:start w:val="1"/>
      <w:numFmt w:val="lowerRoman"/>
      <w:lvlText w:val="%6."/>
      <w:lvlJc w:val="right"/>
      <w:pPr>
        <w:ind w:left="3960" w:hanging="180"/>
      </w:pPr>
    </w:lvl>
    <w:lvl w:ilvl="6" w:tplc="4AC498A4" w:tentative="1">
      <w:start w:val="1"/>
      <w:numFmt w:val="decimal"/>
      <w:lvlText w:val="%7."/>
      <w:lvlJc w:val="left"/>
      <w:pPr>
        <w:ind w:left="4680" w:hanging="360"/>
      </w:pPr>
    </w:lvl>
    <w:lvl w:ilvl="7" w:tplc="3690835A" w:tentative="1">
      <w:start w:val="1"/>
      <w:numFmt w:val="lowerLetter"/>
      <w:lvlText w:val="%8."/>
      <w:lvlJc w:val="left"/>
      <w:pPr>
        <w:ind w:left="5400" w:hanging="360"/>
      </w:pPr>
    </w:lvl>
    <w:lvl w:ilvl="8" w:tplc="9FAE551C" w:tentative="1">
      <w:start w:val="1"/>
      <w:numFmt w:val="lowerRoman"/>
      <w:lvlText w:val="%9."/>
      <w:lvlJc w:val="right"/>
      <w:pPr>
        <w:ind w:left="6120" w:hanging="180"/>
      </w:pPr>
    </w:lvl>
  </w:abstractNum>
  <w:abstractNum w:abstractNumId="7" w15:restartNumberingAfterBreak="0">
    <w:nsid w:val="455A3F01"/>
    <w:multiLevelType w:val="hybridMultilevel"/>
    <w:tmpl w:val="6F22CA18"/>
    <w:lvl w:ilvl="0" w:tplc="027EF5A2">
      <w:start w:val="1"/>
      <w:numFmt w:val="decimal"/>
      <w:lvlText w:val="%1."/>
      <w:lvlJc w:val="left"/>
      <w:pPr>
        <w:ind w:left="720" w:hanging="360"/>
      </w:pPr>
    </w:lvl>
    <w:lvl w:ilvl="1" w:tplc="EDEE7CFE" w:tentative="1">
      <w:start w:val="1"/>
      <w:numFmt w:val="lowerLetter"/>
      <w:lvlText w:val="%2."/>
      <w:lvlJc w:val="left"/>
      <w:pPr>
        <w:ind w:left="1440" w:hanging="360"/>
      </w:pPr>
    </w:lvl>
    <w:lvl w:ilvl="2" w:tplc="A97A4220" w:tentative="1">
      <w:start w:val="1"/>
      <w:numFmt w:val="lowerRoman"/>
      <w:lvlText w:val="%3."/>
      <w:lvlJc w:val="right"/>
      <w:pPr>
        <w:ind w:left="2160" w:hanging="180"/>
      </w:pPr>
    </w:lvl>
    <w:lvl w:ilvl="3" w:tplc="3DC05D6A" w:tentative="1">
      <w:start w:val="1"/>
      <w:numFmt w:val="decimal"/>
      <w:lvlText w:val="%4."/>
      <w:lvlJc w:val="left"/>
      <w:pPr>
        <w:ind w:left="2880" w:hanging="360"/>
      </w:pPr>
    </w:lvl>
    <w:lvl w:ilvl="4" w:tplc="3DF8E58E" w:tentative="1">
      <w:start w:val="1"/>
      <w:numFmt w:val="lowerLetter"/>
      <w:lvlText w:val="%5."/>
      <w:lvlJc w:val="left"/>
      <w:pPr>
        <w:ind w:left="3600" w:hanging="360"/>
      </w:pPr>
    </w:lvl>
    <w:lvl w:ilvl="5" w:tplc="3A32E3A2" w:tentative="1">
      <w:start w:val="1"/>
      <w:numFmt w:val="lowerRoman"/>
      <w:lvlText w:val="%6."/>
      <w:lvlJc w:val="right"/>
      <w:pPr>
        <w:ind w:left="4320" w:hanging="180"/>
      </w:pPr>
    </w:lvl>
    <w:lvl w:ilvl="6" w:tplc="6F02288C" w:tentative="1">
      <w:start w:val="1"/>
      <w:numFmt w:val="decimal"/>
      <w:lvlText w:val="%7."/>
      <w:lvlJc w:val="left"/>
      <w:pPr>
        <w:ind w:left="5040" w:hanging="360"/>
      </w:pPr>
    </w:lvl>
    <w:lvl w:ilvl="7" w:tplc="DD6277F8" w:tentative="1">
      <w:start w:val="1"/>
      <w:numFmt w:val="lowerLetter"/>
      <w:lvlText w:val="%8."/>
      <w:lvlJc w:val="left"/>
      <w:pPr>
        <w:ind w:left="5760" w:hanging="360"/>
      </w:pPr>
    </w:lvl>
    <w:lvl w:ilvl="8" w:tplc="E7DEC5F8" w:tentative="1">
      <w:start w:val="1"/>
      <w:numFmt w:val="lowerRoman"/>
      <w:lvlText w:val="%9."/>
      <w:lvlJc w:val="right"/>
      <w:pPr>
        <w:ind w:left="6480" w:hanging="180"/>
      </w:pPr>
    </w:lvl>
  </w:abstractNum>
  <w:abstractNum w:abstractNumId="8" w15:restartNumberingAfterBreak="0">
    <w:nsid w:val="576E5C9E"/>
    <w:multiLevelType w:val="hybridMultilevel"/>
    <w:tmpl w:val="150A70D6"/>
    <w:lvl w:ilvl="0" w:tplc="8A404E08">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607A0468"/>
    <w:multiLevelType w:val="hybridMultilevel"/>
    <w:tmpl w:val="EF16B4BE"/>
    <w:lvl w:ilvl="0" w:tplc="59209674">
      <w:start w:val="1"/>
      <w:numFmt w:val="lowerLetter"/>
      <w:lvlText w:val="%1."/>
      <w:lvlJc w:val="left"/>
      <w:pPr>
        <w:ind w:left="720" w:hanging="360"/>
      </w:pPr>
      <w:rPr>
        <w:rFonts w:hint="default"/>
      </w:rPr>
    </w:lvl>
    <w:lvl w:ilvl="1" w:tplc="6D84E9F6" w:tentative="1">
      <w:start w:val="1"/>
      <w:numFmt w:val="lowerLetter"/>
      <w:lvlText w:val="%2."/>
      <w:lvlJc w:val="left"/>
      <w:pPr>
        <w:ind w:left="1440" w:hanging="360"/>
      </w:pPr>
    </w:lvl>
    <w:lvl w:ilvl="2" w:tplc="1102D4F0" w:tentative="1">
      <w:start w:val="1"/>
      <w:numFmt w:val="lowerRoman"/>
      <w:lvlText w:val="%3."/>
      <w:lvlJc w:val="right"/>
      <w:pPr>
        <w:ind w:left="2160" w:hanging="180"/>
      </w:pPr>
    </w:lvl>
    <w:lvl w:ilvl="3" w:tplc="96D00DCA" w:tentative="1">
      <w:start w:val="1"/>
      <w:numFmt w:val="decimal"/>
      <w:lvlText w:val="%4."/>
      <w:lvlJc w:val="left"/>
      <w:pPr>
        <w:ind w:left="2880" w:hanging="360"/>
      </w:pPr>
    </w:lvl>
    <w:lvl w:ilvl="4" w:tplc="65AA98DE" w:tentative="1">
      <w:start w:val="1"/>
      <w:numFmt w:val="lowerLetter"/>
      <w:lvlText w:val="%5."/>
      <w:lvlJc w:val="left"/>
      <w:pPr>
        <w:ind w:left="3600" w:hanging="360"/>
      </w:pPr>
    </w:lvl>
    <w:lvl w:ilvl="5" w:tplc="1958BFB0" w:tentative="1">
      <w:start w:val="1"/>
      <w:numFmt w:val="lowerRoman"/>
      <w:lvlText w:val="%6."/>
      <w:lvlJc w:val="right"/>
      <w:pPr>
        <w:ind w:left="4320" w:hanging="180"/>
      </w:pPr>
    </w:lvl>
    <w:lvl w:ilvl="6" w:tplc="5314B628" w:tentative="1">
      <w:start w:val="1"/>
      <w:numFmt w:val="decimal"/>
      <w:lvlText w:val="%7."/>
      <w:lvlJc w:val="left"/>
      <w:pPr>
        <w:ind w:left="5040" w:hanging="360"/>
      </w:pPr>
    </w:lvl>
    <w:lvl w:ilvl="7" w:tplc="A8B262A4" w:tentative="1">
      <w:start w:val="1"/>
      <w:numFmt w:val="lowerLetter"/>
      <w:lvlText w:val="%8."/>
      <w:lvlJc w:val="left"/>
      <w:pPr>
        <w:ind w:left="5760" w:hanging="360"/>
      </w:pPr>
    </w:lvl>
    <w:lvl w:ilvl="8" w:tplc="9B6E5C16" w:tentative="1">
      <w:start w:val="1"/>
      <w:numFmt w:val="lowerRoman"/>
      <w:lvlText w:val="%9."/>
      <w:lvlJc w:val="right"/>
      <w:pPr>
        <w:ind w:left="6480" w:hanging="180"/>
      </w:pPr>
    </w:lvl>
  </w:abstractNum>
  <w:abstractNum w:abstractNumId="10" w15:restartNumberingAfterBreak="0">
    <w:nsid w:val="678D55A4"/>
    <w:multiLevelType w:val="hybridMultilevel"/>
    <w:tmpl w:val="63C2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80297B"/>
    <w:multiLevelType w:val="hybridMultilevel"/>
    <w:tmpl w:val="B37AD81E"/>
    <w:lvl w:ilvl="0" w:tplc="E59E6BF0">
      <w:start w:val="1"/>
      <w:numFmt w:val="upperRoman"/>
      <w:lvlText w:val="%1."/>
      <w:lvlJc w:val="right"/>
      <w:pPr>
        <w:ind w:left="720" w:hanging="360"/>
      </w:pPr>
    </w:lvl>
    <w:lvl w:ilvl="1" w:tplc="681433BC" w:tentative="1">
      <w:start w:val="1"/>
      <w:numFmt w:val="lowerLetter"/>
      <w:lvlText w:val="%2."/>
      <w:lvlJc w:val="left"/>
      <w:pPr>
        <w:ind w:left="1440" w:hanging="360"/>
      </w:pPr>
    </w:lvl>
    <w:lvl w:ilvl="2" w:tplc="1CDC9D70" w:tentative="1">
      <w:start w:val="1"/>
      <w:numFmt w:val="lowerRoman"/>
      <w:lvlText w:val="%3."/>
      <w:lvlJc w:val="right"/>
      <w:pPr>
        <w:ind w:left="2160" w:hanging="180"/>
      </w:pPr>
    </w:lvl>
    <w:lvl w:ilvl="3" w:tplc="3EA6F3DE" w:tentative="1">
      <w:start w:val="1"/>
      <w:numFmt w:val="decimal"/>
      <w:lvlText w:val="%4."/>
      <w:lvlJc w:val="left"/>
      <w:pPr>
        <w:ind w:left="2880" w:hanging="360"/>
      </w:pPr>
    </w:lvl>
    <w:lvl w:ilvl="4" w:tplc="1E4A3D9C" w:tentative="1">
      <w:start w:val="1"/>
      <w:numFmt w:val="lowerLetter"/>
      <w:lvlText w:val="%5."/>
      <w:lvlJc w:val="left"/>
      <w:pPr>
        <w:ind w:left="3600" w:hanging="360"/>
      </w:pPr>
    </w:lvl>
    <w:lvl w:ilvl="5" w:tplc="1C903D22" w:tentative="1">
      <w:start w:val="1"/>
      <w:numFmt w:val="lowerRoman"/>
      <w:lvlText w:val="%6."/>
      <w:lvlJc w:val="right"/>
      <w:pPr>
        <w:ind w:left="4320" w:hanging="180"/>
      </w:pPr>
    </w:lvl>
    <w:lvl w:ilvl="6" w:tplc="B1080B02" w:tentative="1">
      <w:start w:val="1"/>
      <w:numFmt w:val="decimal"/>
      <w:lvlText w:val="%7."/>
      <w:lvlJc w:val="left"/>
      <w:pPr>
        <w:ind w:left="5040" w:hanging="360"/>
      </w:pPr>
    </w:lvl>
    <w:lvl w:ilvl="7" w:tplc="94420D94" w:tentative="1">
      <w:start w:val="1"/>
      <w:numFmt w:val="lowerLetter"/>
      <w:lvlText w:val="%8."/>
      <w:lvlJc w:val="left"/>
      <w:pPr>
        <w:ind w:left="5760" w:hanging="360"/>
      </w:pPr>
    </w:lvl>
    <w:lvl w:ilvl="8" w:tplc="59F476D0" w:tentative="1">
      <w:start w:val="1"/>
      <w:numFmt w:val="lowerRoman"/>
      <w:lvlText w:val="%9."/>
      <w:lvlJc w:val="right"/>
      <w:pPr>
        <w:ind w:left="6480" w:hanging="180"/>
      </w:pPr>
    </w:lvl>
  </w:abstractNum>
  <w:abstractNum w:abstractNumId="12" w15:restartNumberingAfterBreak="0">
    <w:nsid w:val="7A3C1B40"/>
    <w:multiLevelType w:val="hybridMultilevel"/>
    <w:tmpl w:val="1D965BF8"/>
    <w:lvl w:ilvl="0" w:tplc="CF045524">
      <w:start w:val="1"/>
      <w:numFmt w:val="bullet"/>
      <w:lvlText w:val=""/>
      <w:lvlJc w:val="left"/>
      <w:pPr>
        <w:ind w:left="770" w:hanging="360"/>
      </w:pPr>
      <w:rPr>
        <w:rFonts w:ascii="Symbol" w:hAnsi="Symbol" w:hint="default"/>
      </w:rPr>
    </w:lvl>
    <w:lvl w:ilvl="1" w:tplc="BBF436C0" w:tentative="1">
      <w:start w:val="1"/>
      <w:numFmt w:val="bullet"/>
      <w:lvlText w:val="o"/>
      <w:lvlJc w:val="left"/>
      <w:pPr>
        <w:ind w:left="1490" w:hanging="360"/>
      </w:pPr>
      <w:rPr>
        <w:rFonts w:ascii="Courier New" w:hAnsi="Courier New" w:cs="Courier New" w:hint="default"/>
      </w:rPr>
    </w:lvl>
    <w:lvl w:ilvl="2" w:tplc="E952820E" w:tentative="1">
      <w:start w:val="1"/>
      <w:numFmt w:val="bullet"/>
      <w:lvlText w:val=""/>
      <w:lvlJc w:val="left"/>
      <w:pPr>
        <w:ind w:left="2210" w:hanging="360"/>
      </w:pPr>
      <w:rPr>
        <w:rFonts w:ascii="Wingdings" w:hAnsi="Wingdings" w:hint="default"/>
      </w:rPr>
    </w:lvl>
    <w:lvl w:ilvl="3" w:tplc="DB169962" w:tentative="1">
      <w:start w:val="1"/>
      <w:numFmt w:val="bullet"/>
      <w:lvlText w:val=""/>
      <w:lvlJc w:val="left"/>
      <w:pPr>
        <w:ind w:left="2930" w:hanging="360"/>
      </w:pPr>
      <w:rPr>
        <w:rFonts w:ascii="Symbol" w:hAnsi="Symbol" w:hint="default"/>
      </w:rPr>
    </w:lvl>
    <w:lvl w:ilvl="4" w:tplc="C2A85A4A" w:tentative="1">
      <w:start w:val="1"/>
      <w:numFmt w:val="bullet"/>
      <w:lvlText w:val="o"/>
      <w:lvlJc w:val="left"/>
      <w:pPr>
        <w:ind w:left="3650" w:hanging="360"/>
      </w:pPr>
      <w:rPr>
        <w:rFonts w:ascii="Courier New" w:hAnsi="Courier New" w:cs="Courier New" w:hint="default"/>
      </w:rPr>
    </w:lvl>
    <w:lvl w:ilvl="5" w:tplc="4288CCD4" w:tentative="1">
      <w:start w:val="1"/>
      <w:numFmt w:val="bullet"/>
      <w:lvlText w:val=""/>
      <w:lvlJc w:val="left"/>
      <w:pPr>
        <w:ind w:left="4370" w:hanging="360"/>
      </w:pPr>
      <w:rPr>
        <w:rFonts w:ascii="Wingdings" w:hAnsi="Wingdings" w:hint="default"/>
      </w:rPr>
    </w:lvl>
    <w:lvl w:ilvl="6" w:tplc="8FC63814" w:tentative="1">
      <w:start w:val="1"/>
      <w:numFmt w:val="bullet"/>
      <w:lvlText w:val=""/>
      <w:lvlJc w:val="left"/>
      <w:pPr>
        <w:ind w:left="5090" w:hanging="360"/>
      </w:pPr>
      <w:rPr>
        <w:rFonts w:ascii="Symbol" w:hAnsi="Symbol" w:hint="default"/>
      </w:rPr>
    </w:lvl>
    <w:lvl w:ilvl="7" w:tplc="E2C06DF4" w:tentative="1">
      <w:start w:val="1"/>
      <w:numFmt w:val="bullet"/>
      <w:lvlText w:val="o"/>
      <w:lvlJc w:val="left"/>
      <w:pPr>
        <w:ind w:left="5810" w:hanging="360"/>
      </w:pPr>
      <w:rPr>
        <w:rFonts w:ascii="Courier New" w:hAnsi="Courier New" w:cs="Courier New" w:hint="default"/>
      </w:rPr>
    </w:lvl>
    <w:lvl w:ilvl="8" w:tplc="AAC603FC" w:tentative="1">
      <w:start w:val="1"/>
      <w:numFmt w:val="bullet"/>
      <w:lvlText w:val=""/>
      <w:lvlJc w:val="left"/>
      <w:pPr>
        <w:ind w:left="6530" w:hanging="360"/>
      </w:pPr>
      <w:rPr>
        <w:rFonts w:ascii="Wingdings" w:hAnsi="Wingdings" w:hint="default"/>
      </w:rPr>
    </w:lvl>
  </w:abstractNum>
  <w:num w:numId="1" w16cid:durableId="167446596">
    <w:abstractNumId w:val="2"/>
  </w:num>
  <w:num w:numId="2" w16cid:durableId="392394783">
    <w:abstractNumId w:val="0"/>
  </w:num>
  <w:num w:numId="3" w16cid:durableId="706029938">
    <w:abstractNumId w:val="11"/>
  </w:num>
  <w:num w:numId="4" w16cid:durableId="14550590">
    <w:abstractNumId w:val="9"/>
  </w:num>
  <w:num w:numId="5" w16cid:durableId="350495583">
    <w:abstractNumId w:val="1"/>
  </w:num>
  <w:num w:numId="6" w16cid:durableId="242957762">
    <w:abstractNumId w:val="5"/>
  </w:num>
  <w:num w:numId="7" w16cid:durableId="1874465736">
    <w:abstractNumId w:val="7"/>
  </w:num>
  <w:num w:numId="8" w16cid:durableId="641547337">
    <w:abstractNumId w:val="3"/>
  </w:num>
  <w:num w:numId="9" w16cid:durableId="250162229">
    <w:abstractNumId w:val="6"/>
  </w:num>
  <w:num w:numId="10" w16cid:durableId="328874349">
    <w:abstractNumId w:val="4"/>
  </w:num>
  <w:num w:numId="11" w16cid:durableId="209727248">
    <w:abstractNumId w:val="12"/>
  </w:num>
  <w:num w:numId="12" w16cid:durableId="813524350">
    <w:abstractNumId w:val="10"/>
  </w:num>
  <w:num w:numId="13" w16cid:durableId="15673738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F5"/>
    <w:rsid w:val="0001504B"/>
    <w:rsid w:val="000338D4"/>
    <w:rsid w:val="00035819"/>
    <w:rsid w:val="00042E9A"/>
    <w:rsid w:val="000456EC"/>
    <w:rsid w:val="00045D49"/>
    <w:rsid w:val="00061820"/>
    <w:rsid w:val="00073781"/>
    <w:rsid w:val="00076A6A"/>
    <w:rsid w:val="00095580"/>
    <w:rsid w:val="000A3E25"/>
    <w:rsid w:val="000A6725"/>
    <w:rsid w:val="000B2FFA"/>
    <w:rsid w:val="000B4967"/>
    <w:rsid w:val="000B5B36"/>
    <w:rsid w:val="000B6F99"/>
    <w:rsid w:val="000C2DDE"/>
    <w:rsid w:val="000E04CD"/>
    <w:rsid w:val="000E2336"/>
    <w:rsid w:val="000E3BF7"/>
    <w:rsid w:val="000F13FA"/>
    <w:rsid w:val="000F5C8E"/>
    <w:rsid w:val="00112AEF"/>
    <w:rsid w:val="00114AEB"/>
    <w:rsid w:val="001232FB"/>
    <w:rsid w:val="001248AC"/>
    <w:rsid w:val="00125F11"/>
    <w:rsid w:val="00132F16"/>
    <w:rsid w:val="0014288A"/>
    <w:rsid w:val="00156B1F"/>
    <w:rsid w:val="00163F1D"/>
    <w:rsid w:val="00174D0B"/>
    <w:rsid w:val="00182759"/>
    <w:rsid w:val="001A569A"/>
    <w:rsid w:val="001B0240"/>
    <w:rsid w:val="001B4D7F"/>
    <w:rsid w:val="001B605A"/>
    <w:rsid w:val="001B69DC"/>
    <w:rsid w:val="001D1541"/>
    <w:rsid w:val="001D3E2E"/>
    <w:rsid w:val="001D77A7"/>
    <w:rsid w:val="001E583C"/>
    <w:rsid w:val="001F1352"/>
    <w:rsid w:val="001F3488"/>
    <w:rsid w:val="001F38B6"/>
    <w:rsid w:val="001F5A52"/>
    <w:rsid w:val="00206903"/>
    <w:rsid w:val="002079A4"/>
    <w:rsid w:val="00211441"/>
    <w:rsid w:val="002120EF"/>
    <w:rsid w:val="00221130"/>
    <w:rsid w:val="00223F84"/>
    <w:rsid w:val="00232FA7"/>
    <w:rsid w:val="00233570"/>
    <w:rsid w:val="00235586"/>
    <w:rsid w:val="00235CF8"/>
    <w:rsid w:val="002362FD"/>
    <w:rsid w:val="00266036"/>
    <w:rsid w:val="002873A6"/>
    <w:rsid w:val="0029076B"/>
    <w:rsid w:val="002910FB"/>
    <w:rsid w:val="0029214C"/>
    <w:rsid w:val="002A2A17"/>
    <w:rsid w:val="002B03F5"/>
    <w:rsid w:val="002C3E8C"/>
    <w:rsid w:val="002D11C7"/>
    <w:rsid w:val="002D4965"/>
    <w:rsid w:val="002D7F54"/>
    <w:rsid w:val="002E77FD"/>
    <w:rsid w:val="002F4763"/>
    <w:rsid w:val="00310792"/>
    <w:rsid w:val="00317695"/>
    <w:rsid w:val="003215FF"/>
    <w:rsid w:val="003243BC"/>
    <w:rsid w:val="00325305"/>
    <w:rsid w:val="0032688B"/>
    <w:rsid w:val="0034557B"/>
    <w:rsid w:val="00346D70"/>
    <w:rsid w:val="003549E5"/>
    <w:rsid w:val="00360C20"/>
    <w:rsid w:val="00380417"/>
    <w:rsid w:val="0038348C"/>
    <w:rsid w:val="00387683"/>
    <w:rsid w:val="003A7818"/>
    <w:rsid w:val="003D2142"/>
    <w:rsid w:val="003E5C4C"/>
    <w:rsid w:val="00406113"/>
    <w:rsid w:val="00412577"/>
    <w:rsid w:val="00442909"/>
    <w:rsid w:val="00442A48"/>
    <w:rsid w:val="004439B3"/>
    <w:rsid w:val="00443ED8"/>
    <w:rsid w:val="00447775"/>
    <w:rsid w:val="004660E9"/>
    <w:rsid w:val="00467013"/>
    <w:rsid w:val="004760F8"/>
    <w:rsid w:val="00492E31"/>
    <w:rsid w:val="004930EA"/>
    <w:rsid w:val="00493A65"/>
    <w:rsid w:val="004960AC"/>
    <w:rsid w:val="004A6A77"/>
    <w:rsid w:val="004B5FB4"/>
    <w:rsid w:val="004D173A"/>
    <w:rsid w:val="004D65F9"/>
    <w:rsid w:val="004D6C1A"/>
    <w:rsid w:val="004E3373"/>
    <w:rsid w:val="004E77CC"/>
    <w:rsid w:val="004E7D72"/>
    <w:rsid w:val="004F3930"/>
    <w:rsid w:val="004F57FE"/>
    <w:rsid w:val="004F7A80"/>
    <w:rsid w:val="00504F7A"/>
    <w:rsid w:val="005120C6"/>
    <w:rsid w:val="005136A5"/>
    <w:rsid w:val="005143D1"/>
    <w:rsid w:val="005155AF"/>
    <w:rsid w:val="00521AB6"/>
    <w:rsid w:val="00530E12"/>
    <w:rsid w:val="005405E7"/>
    <w:rsid w:val="00543A5D"/>
    <w:rsid w:val="00544704"/>
    <w:rsid w:val="00553960"/>
    <w:rsid w:val="00561E51"/>
    <w:rsid w:val="00564322"/>
    <w:rsid w:val="0056534F"/>
    <w:rsid w:val="00572A64"/>
    <w:rsid w:val="00577A70"/>
    <w:rsid w:val="00583C5F"/>
    <w:rsid w:val="005A25A5"/>
    <w:rsid w:val="005C4BBF"/>
    <w:rsid w:val="005D27C7"/>
    <w:rsid w:val="005D3320"/>
    <w:rsid w:val="005D67F5"/>
    <w:rsid w:val="005E516C"/>
    <w:rsid w:val="005F4F6A"/>
    <w:rsid w:val="005F58B7"/>
    <w:rsid w:val="005F7B75"/>
    <w:rsid w:val="00603E2F"/>
    <w:rsid w:val="00606A0F"/>
    <w:rsid w:val="0061716E"/>
    <w:rsid w:val="0062447A"/>
    <w:rsid w:val="00634416"/>
    <w:rsid w:val="00642487"/>
    <w:rsid w:val="006434BA"/>
    <w:rsid w:val="00646159"/>
    <w:rsid w:val="00647DE9"/>
    <w:rsid w:val="006505AE"/>
    <w:rsid w:val="00654A73"/>
    <w:rsid w:val="00655E08"/>
    <w:rsid w:val="0066686B"/>
    <w:rsid w:val="00674191"/>
    <w:rsid w:val="00687DFB"/>
    <w:rsid w:val="006A22C0"/>
    <w:rsid w:val="006B5E16"/>
    <w:rsid w:val="006C11DD"/>
    <w:rsid w:val="006E0EDF"/>
    <w:rsid w:val="006E1216"/>
    <w:rsid w:val="006E4906"/>
    <w:rsid w:val="006F44B6"/>
    <w:rsid w:val="00701FA3"/>
    <w:rsid w:val="007064B2"/>
    <w:rsid w:val="00717F31"/>
    <w:rsid w:val="007213CB"/>
    <w:rsid w:val="00737E5D"/>
    <w:rsid w:val="0074731A"/>
    <w:rsid w:val="0075543E"/>
    <w:rsid w:val="00764501"/>
    <w:rsid w:val="00770A15"/>
    <w:rsid w:val="007724AD"/>
    <w:rsid w:val="00774C4E"/>
    <w:rsid w:val="00792BC4"/>
    <w:rsid w:val="00795BFB"/>
    <w:rsid w:val="00795CBD"/>
    <w:rsid w:val="007A09F7"/>
    <w:rsid w:val="007A3120"/>
    <w:rsid w:val="007A3477"/>
    <w:rsid w:val="007A441E"/>
    <w:rsid w:val="007B1A58"/>
    <w:rsid w:val="007B24C4"/>
    <w:rsid w:val="007C42D9"/>
    <w:rsid w:val="007C4E33"/>
    <w:rsid w:val="007C63EF"/>
    <w:rsid w:val="007D4388"/>
    <w:rsid w:val="007D63C0"/>
    <w:rsid w:val="0080203E"/>
    <w:rsid w:val="008026E0"/>
    <w:rsid w:val="0080548B"/>
    <w:rsid w:val="008137FA"/>
    <w:rsid w:val="00817457"/>
    <w:rsid w:val="0082392F"/>
    <w:rsid w:val="00824578"/>
    <w:rsid w:val="00834849"/>
    <w:rsid w:val="0083744F"/>
    <w:rsid w:val="00855442"/>
    <w:rsid w:val="00855E99"/>
    <w:rsid w:val="0085621D"/>
    <w:rsid w:val="0086302E"/>
    <w:rsid w:val="008A2517"/>
    <w:rsid w:val="008B5A1E"/>
    <w:rsid w:val="008C063C"/>
    <w:rsid w:val="008C4D3D"/>
    <w:rsid w:val="008E0004"/>
    <w:rsid w:val="008E1AB2"/>
    <w:rsid w:val="008F247F"/>
    <w:rsid w:val="008F69DA"/>
    <w:rsid w:val="00902ACE"/>
    <w:rsid w:val="0091279B"/>
    <w:rsid w:val="00920FB9"/>
    <w:rsid w:val="00925804"/>
    <w:rsid w:val="00925931"/>
    <w:rsid w:val="00930406"/>
    <w:rsid w:val="00931D7D"/>
    <w:rsid w:val="009531E8"/>
    <w:rsid w:val="00955FF2"/>
    <w:rsid w:val="00965379"/>
    <w:rsid w:val="00984FE8"/>
    <w:rsid w:val="009879B0"/>
    <w:rsid w:val="0099339A"/>
    <w:rsid w:val="0099572E"/>
    <w:rsid w:val="009A2966"/>
    <w:rsid w:val="009A3E15"/>
    <w:rsid w:val="009A719C"/>
    <w:rsid w:val="009B3033"/>
    <w:rsid w:val="009C06A8"/>
    <w:rsid w:val="009C309D"/>
    <w:rsid w:val="009D077B"/>
    <w:rsid w:val="009F3D91"/>
    <w:rsid w:val="00A06673"/>
    <w:rsid w:val="00A173AE"/>
    <w:rsid w:val="00A24DC2"/>
    <w:rsid w:val="00A25CD0"/>
    <w:rsid w:val="00A32C34"/>
    <w:rsid w:val="00A530FF"/>
    <w:rsid w:val="00A61A79"/>
    <w:rsid w:val="00A80D02"/>
    <w:rsid w:val="00A928DA"/>
    <w:rsid w:val="00AB0046"/>
    <w:rsid w:val="00AB11B6"/>
    <w:rsid w:val="00AB39AC"/>
    <w:rsid w:val="00AC33DC"/>
    <w:rsid w:val="00AC3FB9"/>
    <w:rsid w:val="00AC4841"/>
    <w:rsid w:val="00AD7D67"/>
    <w:rsid w:val="00AE4700"/>
    <w:rsid w:val="00AE7831"/>
    <w:rsid w:val="00AF3109"/>
    <w:rsid w:val="00AF5AA5"/>
    <w:rsid w:val="00B11426"/>
    <w:rsid w:val="00B15C04"/>
    <w:rsid w:val="00B309BB"/>
    <w:rsid w:val="00B36D76"/>
    <w:rsid w:val="00B45BF7"/>
    <w:rsid w:val="00B54448"/>
    <w:rsid w:val="00B602C8"/>
    <w:rsid w:val="00B61646"/>
    <w:rsid w:val="00B632DB"/>
    <w:rsid w:val="00B67234"/>
    <w:rsid w:val="00B82E9F"/>
    <w:rsid w:val="00B92775"/>
    <w:rsid w:val="00B92BA1"/>
    <w:rsid w:val="00B956FB"/>
    <w:rsid w:val="00BA3898"/>
    <w:rsid w:val="00BB6625"/>
    <w:rsid w:val="00BC4F64"/>
    <w:rsid w:val="00BC7E14"/>
    <w:rsid w:val="00BD0001"/>
    <w:rsid w:val="00BD3F39"/>
    <w:rsid w:val="00BE13AE"/>
    <w:rsid w:val="00BE6974"/>
    <w:rsid w:val="00BF032E"/>
    <w:rsid w:val="00C130E0"/>
    <w:rsid w:val="00C22228"/>
    <w:rsid w:val="00C251D5"/>
    <w:rsid w:val="00C3605E"/>
    <w:rsid w:val="00C400FF"/>
    <w:rsid w:val="00C468B6"/>
    <w:rsid w:val="00C56477"/>
    <w:rsid w:val="00C56FAE"/>
    <w:rsid w:val="00C6027A"/>
    <w:rsid w:val="00C756B7"/>
    <w:rsid w:val="00C775A1"/>
    <w:rsid w:val="00C86B59"/>
    <w:rsid w:val="00C90E4A"/>
    <w:rsid w:val="00CB681B"/>
    <w:rsid w:val="00CB7A8A"/>
    <w:rsid w:val="00CC23E1"/>
    <w:rsid w:val="00CD1076"/>
    <w:rsid w:val="00CD6092"/>
    <w:rsid w:val="00CE079D"/>
    <w:rsid w:val="00CE468B"/>
    <w:rsid w:val="00CF17E6"/>
    <w:rsid w:val="00D05040"/>
    <w:rsid w:val="00D222A0"/>
    <w:rsid w:val="00D22A7C"/>
    <w:rsid w:val="00D47DD5"/>
    <w:rsid w:val="00D558AC"/>
    <w:rsid w:val="00D913D0"/>
    <w:rsid w:val="00D94AC9"/>
    <w:rsid w:val="00D96442"/>
    <w:rsid w:val="00DA0624"/>
    <w:rsid w:val="00DC0622"/>
    <w:rsid w:val="00DC3775"/>
    <w:rsid w:val="00DC69F1"/>
    <w:rsid w:val="00DC77F0"/>
    <w:rsid w:val="00DE64E5"/>
    <w:rsid w:val="00E134EC"/>
    <w:rsid w:val="00E235D4"/>
    <w:rsid w:val="00E250E5"/>
    <w:rsid w:val="00E40A3C"/>
    <w:rsid w:val="00E52AAA"/>
    <w:rsid w:val="00E70CFB"/>
    <w:rsid w:val="00E80A54"/>
    <w:rsid w:val="00EB56D5"/>
    <w:rsid w:val="00EC1617"/>
    <w:rsid w:val="00EC4435"/>
    <w:rsid w:val="00EC4840"/>
    <w:rsid w:val="00ED356C"/>
    <w:rsid w:val="00F01AAB"/>
    <w:rsid w:val="00F10E08"/>
    <w:rsid w:val="00F26478"/>
    <w:rsid w:val="00F26F6A"/>
    <w:rsid w:val="00F26FCF"/>
    <w:rsid w:val="00F422F2"/>
    <w:rsid w:val="00F533F5"/>
    <w:rsid w:val="00F54922"/>
    <w:rsid w:val="00F673D2"/>
    <w:rsid w:val="00F85031"/>
    <w:rsid w:val="00FB466F"/>
    <w:rsid w:val="00FB4698"/>
    <w:rsid w:val="00FC010B"/>
    <w:rsid w:val="00FD2291"/>
    <w:rsid w:val="00FE2A5F"/>
    <w:rsid w:val="00FF4CA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EFD0E"/>
  <w15:docId w15:val="{BFF03BB6-81BF-4DA7-A0EF-64C79638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5D6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B56D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D67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67F5"/>
    <w:rPr>
      <w:rFonts w:ascii="Tahoma" w:hAnsi="Tahoma" w:cs="Tahoma"/>
      <w:sz w:val="16"/>
      <w:szCs w:val="16"/>
    </w:rPr>
  </w:style>
  <w:style w:type="paragraph" w:styleId="Cabealho">
    <w:name w:val="header"/>
    <w:basedOn w:val="Normal"/>
    <w:link w:val="CabealhoChar"/>
    <w:uiPriority w:val="99"/>
    <w:unhideWhenUsed/>
    <w:rsid w:val="005D67F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D67F5"/>
  </w:style>
  <w:style w:type="paragraph" w:styleId="Rodap">
    <w:name w:val="footer"/>
    <w:basedOn w:val="Normal"/>
    <w:link w:val="RodapChar"/>
    <w:uiPriority w:val="99"/>
    <w:unhideWhenUsed/>
    <w:rsid w:val="005D67F5"/>
    <w:pPr>
      <w:tabs>
        <w:tab w:val="center" w:pos="4252"/>
        <w:tab w:val="right" w:pos="8504"/>
      </w:tabs>
      <w:spacing w:after="0" w:line="240" w:lineRule="auto"/>
    </w:pPr>
  </w:style>
  <w:style w:type="character" w:customStyle="1" w:styleId="RodapChar">
    <w:name w:val="Rodapé Char"/>
    <w:basedOn w:val="Fontepargpadro"/>
    <w:link w:val="Rodap"/>
    <w:uiPriority w:val="99"/>
    <w:rsid w:val="005D67F5"/>
  </w:style>
  <w:style w:type="paragraph" w:styleId="SemEspaamento">
    <w:name w:val="No Spacing"/>
    <w:uiPriority w:val="1"/>
    <w:qFormat/>
    <w:rsid w:val="005D67F5"/>
    <w:pPr>
      <w:spacing w:after="0" w:line="240" w:lineRule="auto"/>
    </w:pPr>
  </w:style>
  <w:style w:type="character" w:customStyle="1" w:styleId="Ttulo1Char">
    <w:name w:val="Título 1 Char"/>
    <w:basedOn w:val="Fontepargpadro"/>
    <w:link w:val="Ttulo1"/>
    <w:uiPriority w:val="9"/>
    <w:rsid w:val="005D67F5"/>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C775A1"/>
    <w:pPr>
      <w:ind w:left="720"/>
      <w:contextualSpacing/>
    </w:pPr>
  </w:style>
  <w:style w:type="character" w:customStyle="1" w:styleId="Ttulo2Char">
    <w:name w:val="Título 2 Char"/>
    <w:basedOn w:val="Fontepargpadro"/>
    <w:link w:val="Ttulo2"/>
    <w:uiPriority w:val="9"/>
    <w:semiHidden/>
    <w:rsid w:val="00EB56D5"/>
    <w:rPr>
      <w:rFonts w:asciiTheme="majorHAnsi" w:eastAsiaTheme="majorEastAsia" w:hAnsiTheme="majorHAnsi" w:cstheme="majorBidi"/>
      <w:color w:val="365F91" w:themeColor="accent1" w:themeShade="BF"/>
      <w:sz w:val="26"/>
      <w:szCs w:val="26"/>
    </w:rPr>
  </w:style>
  <w:style w:type="character" w:styleId="Refdecomentrio">
    <w:name w:val="annotation reference"/>
    <w:basedOn w:val="Fontepargpadro"/>
    <w:uiPriority w:val="99"/>
    <w:semiHidden/>
    <w:unhideWhenUsed/>
    <w:rsid w:val="00EB56D5"/>
    <w:rPr>
      <w:sz w:val="16"/>
      <w:szCs w:val="16"/>
    </w:rPr>
  </w:style>
  <w:style w:type="paragraph" w:styleId="Textodecomentrio">
    <w:name w:val="annotation text"/>
    <w:basedOn w:val="Normal"/>
    <w:link w:val="TextodecomentrioChar"/>
    <w:uiPriority w:val="99"/>
    <w:unhideWhenUsed/>
    <w:rsid w:val="00EB56D5"/>
    <w:pPr>
      <w:spacing w:after="160" w:line="240" w:lineRule="auto"/>
    </w:pPr>
    <w:rPr>
      <w:sz w:val="20"/>
      <w:szCs w:val="20"/>
    </w:rPr>
  </w:style>
  <w:style w:type="character" w:customStyle="1" w:styleId="TextodecomentrioChar">
    <w:name w:val="Texto de comentário Char"/>
    <w:basedOn w:val="Fontepargpadro"/>
    <w:link w:val="Textodecomentrio"/>
    <w:uiPriority w:val="99"/>
    <w:rsid w:val="00EB56D5"/>
    <w:rPr>
      <w:sz w:val="20"/>
      <w:szCs w:val="20"/>
    </w:rPr>
  </w:style>
  <w:style w:type="paragraph" w:styleId="Assuntodocomentrio">
    <w:name w:val="annotation subject"/>
    <w:basedOn w:val="Textodecomentrio"/>
    <w:next w:val="Textodecomentrio"/>
    <w:link w:val="AssuntodocomentrioChar"/>
    <w:uiPriority w:val="99"/>
    <w:semiHidden/>
    <w:unhideWhenUsed/>
    <w:rsid w:val="00EB56D5"/>
    <w:rPr>
      <w:b/>
      <w:bCs/>
    </w:rPr>
  </w:style>
  <w:style w:type="character" w:customStyle="1" w:styleId="AssuntodocomentrioChar">
    <w:name w:val="Assunto do comentário Char"/>
    <w:basedOn w:val="TextodecomentrioChar"/>
    <w:link w:val="Assuntodocomentrio"/>
    <w:uiPriority w:val="99"/>
    <w:semiHidden/>
    <w:rsid w:val="00EB56D5"/>
    <w:rPr>
      <w:b/>
      <w:bCs/>
      <w:sz w:val="20"/>
      <w:szCs w:val="20"/>
    </w:rPr>
  </w:style>
  <w:style w:type="paragraph" w:styleId="Textodenotaderodap">
    <w:name w:val="footnote text"/>
    <w:basedOn w:val="Normal"/>
    <w:link w:val="TextodenotaderodapChar"/>
    <w:uiPriority w:val="99"/>
    <w:semiHidden/>
    <w:unhideWhenUsed/>
    <w:rsid w:val="00EB56D5"/>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EB56D5"/>
    <w:rPr>
      <w:sz w:val="20"/>
      <w:szCs w:val="20"/>
    </w:rPr>
  </w:style>
  <w:style w:type="character" w:styleId="Refdenotaderodap">
    <w:name w:val="footnote reference"/>
    <w:basedOn w:val="Fontepargpadro"/>
    <w:uiPriority w:val="99"/>
    <w:semiHidden/>
    <w:unhideWhenUsed/>
    <w:rsid w:val="00EB56D5"/>
    <w:rPr>
      <w:vertAlign w:val="superscript"/>
    </w:rPr>
  </w:style>
  <w:style w:type="character" w:styleId="Hyperlink">
    <w:name w:val="Hyperlink"/>
    <w:basedOn w:val="Fontepargpadro"/>
    <w:uiPriority w:val="99"/>
    <w:unhideWhenUsed/>
    <w:rsid w:val="00EB56D5"/>
    <w:rPr>
      <w:color w:val="0000FF"/>
      <w:u w:val="single"/>
    </w:rPr>
  </w:style>
  <w:style w:type="character" w:styleId="TextodoEspaoReservado">
    <w:name w:val="Placeholder Text"/>
    <w:basedOn w:val="Fontepargpadro"/>
    <w:uiPriority w:val="99"/>
    <w:semiHidden/>
    <w:rsid w:val="00EB56D5"/>
    <w:rPr>
      <w:color w:val="808080"/>
    </w:rPr>
  </w:style>
  <w:style w:type="table" w:styleId="Tabelacomgrade">
    <w:name w:val="Table Grid"/>
    <w:basedOn w:val="Tabelanormal"/>
    <w:uiPriority w:val="39"/>
    <w:rsid w:val="00EB5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EB56D5"/>
    <w:rPr>
      <w:color w:val="605E5C"/>
      <w:shd w:val="clear" w:color="auto" w:fill="E1DFDD"/>
    </w:rPr>
  </w:style>
  <w:style w:type="paragraph" w:styleId="Reviso">
    <w:name w:val="Revision"/>
    <w:hidden/>
    <w:uiPriority w:val="99"/>
    <w:semiHidden/>
    <w:rsid w:val="00EB56D5"/>
    <w:pPr>
      <w:spacing w:after="0" w:line="240" w:lineRule="auto"/>
    </w:pPr>
  </w:style>
  <w:style w:type="character" w:customStyle="1" w:styleId="A1">
    <w:name w:val="A1"/>
    <w:uiPriority w:val="99"/>
    <w:rsid w:val="00EB56D5"/>
    <w:rPr>
      <w:rFonts w:cs="Optima LT Std"/>
      <w:color w:val="000000"/>
      <w:sz w:val="18"/>
      <w:szCs w:val="18"/>
    </w:rPr>
  </w:style>
  <w:style w:type="character" w:styleId="MenoPendente">
    <w:name w:val="Unresolved Mention"/>
    <w:basedOn w:val="Fontepargpadro"/>
    <w:uiPriority w:val="99"/>
    <w:rsid w:val="00CE4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tic.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dms_pub/itu-d/opb/ind/D-IND-ITCMEAS-2014-PDF-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cetic.br/media/microdados/256/ticdom_2019_relatorio_metodologico_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35E68C-16D9-DA42-9487-A63BD1B8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3177</Words>
  <Characters>17869</Characters>
  <Application>Microsoft Office Word</Application>
  <DocSecurity>0</DocSecurity>
  <Lines>148</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Klezer</dc:creator>
  <cp:lastModifiedBy>Luiza Carvalho</cp:lastModifiedBy>
  <cp:revision>2</cp:revision>
  <cp:lastPrinted>2016-03-08T13:11:00Z</cp:lastPrinted>
  <dcterms:created xsi:type="dcterms:W3CDTF">2024-07-02T13:11:00Z</dcterms:created>
  <dcterms:modified xsi:type="dcterms:W3CDTF">2024-07-02T13:11:00Z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0376197f6cf94001319c50844120fb6af37b9451a10ab7a2df7dee9d14cca63d</vt:lpwstr>
  </property>
</Properties>
</file>